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D3B86" w14:textId="6202D1D8" w:rsidR="00DD3C3A" w:rsidRDefault="00DD3C3A" w:rsidP="00DD3C3A">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t>R1-20</w:t>
      </w:r>
      <w:r w:rsidR="00AC3B83">
        <w:rPr>
          <w:b/>
          <w:sz w:val="24"/>
        </w:rPr>
        <w:t>06012</w:t>
      </w:r>
    </w:p>
    <w:p w14:paraId="3AA1488A" w14:textId="77777777" w:rsidR="00DD3C3A" w:rsidRDefault="00DD3C3A" w:rsidP="00DD3C3A">
      <w:pPr>
        <w:pStyle w:val="Header"/>
        <w:rPr>
          <w:b/>
          <w:sz w:val="24"/>
        </w:rPr>
      </w:pPr>
      <w:r>
        <w:rPr>
          <w:b/>
          <w:sz w:val="24"/>
        </w:rPr>
        <w:t>e-Meeting, August 17 – 28, 2020</w:t>
      </w:r>
      <w:bookmarkEnd w:id="0"/>
    </w:p>
    <w:p w14:paraId="4E703723" w14:textId="77777777" w:rsidR="00B27109" w:rsidRDefault="00B27109" w:rsidP="00B27109"/>
    <w:p w14:paraId="420026A9" w14:textId="23AD791B"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8.11.1</w:t>
      </w:r>
    </w:p>
    <w:p w14:paraId="06A83340" w14:textId="1FEC7397"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Discussion on evaluation methodology for SL power saving</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2B41C7A1" w14:textId="10118317" w:rsidR="00AE53D2" w:rsidRPr="000976A8" w:rsidRDefault="00AE53D2" w:rsidP="00AE53D2">
      <w:pPr>
        <w:pStyle w:val="BodyText"/>
        <w:spacing w:after="120"/>
        <w:rPr>
          <w:color w:val="000000" w:themeColor="text1"/>
          <w:sz w:val="20"/>
          <w:szCs w:val="20"/>
        </w:rPr>
      </w:pPr>
      <w:r w:rsidRPr="000976A8">
        <w:rPr>
          <w:color w:val="000000" w:themeColor="text1"/>
          <w:sz w:val="20"/>
          <w:szCs w:val="20"/>
        </w:rPr>
        <w:t>According to</w:t>
      </w:r>
      <w:r w:rsidR="00630849" w:rsidRPr="000976A8">
        <w:rPr>
          <w:color w:val="000000" w:themeColor="text1"/>
          <w:sz w:val="20"/>
          <w:szCs w:val="20"/>
        </w:rPr>
        <w:t xml:space="preserve"> </w:t>
      </w:r>
      <w:r w:rsidRPr="000976A8">
        <w:rPr>
          <w:color w:val="000000" w:themeColor="text1"/>
          <w:sz w:val="20"/>
          <w:szCs w:val="20"/>
        </w:rPr>
        <w:t xml:space="preserve">the latest approved WID for the NR sidelink enhancement (eSL) item in [1], one main objective of this eSL work in Rel-17 is to enhance/support power saving aspect (to reduce power consumption) of the NR sidelink operation to support wider range of sidelink devices and services, such as pedestrian UEs/VRUs in V2X, </w:t>
      </w:r>
      <w:r w:rsidR="0031043E" w:rsidRPr="000976A8">
        <w:rPr>
          <w:color w:val="000000" w:themeColor="text1"/>
          <w:sz w:val="20"/>
          <w:szCs w:val="20"/>
        </w:rPr>
        <w:t xml:space="preserve">compact </w:t>
      </w:r>
      <w:r w:rsidRPr="000976A8">
        <w:rPr>
          <w:color w:val="000000" w:themeColor="text1"/>
          <w:sz w:val="20"/>
          <w:szCs w:val="20"/>
        </w:rPr>
        <w:t>portable / backpack UEs for public safety</w:t>
      </w:r>
      <w:r w:rsidR="0031043E" w:rsidRPr="000976A8">
        <w:rPr>
          <w:color w:val="000000" w:themeColor="text1"/>
          <w:sz w:val="20"/>
          <w:szCs w:val="20"/>
        </w:rPr>
        <w:t xml:space="preserve"> users</w:t>
      </w:r>
      <w:r w:rsidRPr="000976A8">
        <w:rPr>
          <w:color w:val="000000" w:themeColor="text1"/>
          <w:sz w:val="20"/>
          <w:szCs w:val="20"/>
        </w:rPr>
        <w:t xml:space="preserve">, and handheld </w:t>
      </w:r>
      <w:r w:rsidR="0031043E" w:rsidRPr="000976A8">
        <w:rPr>
          <w:color w:val="000000" w:themeColor="text1"/>
          <w:sz w:val="20"/>
          <w:szCs w:val="20"/>
        </w:rPr>
        <w:t>/</w:t>
      </w:r>
      <w:r w:rsidRPr="000976A8">
        <w:rPr>
          <w:color w:val="000000" w:themeColor="text1"/>
          <w:sz w:val="20"/>
          <w:szCs w:val="20"/>
        </w:rPr>
        <w:t xml:space="preserve"> head-mount devices</w:t>
      </w:r>
      <w:r w:rsidR="0031043E" w:rsidRPr="000976A8">
        <w:rPr>
          <w:color w:val="000000" w:themeColor="text1"/>
          <w:sz w:val="20"/>
          <w:szCs w:val="20"/>
        </w:rPr>
        <w:t xml:space="preserve"> for commercial services.</w:t>
      </w:r>
      <w:r w:rsidR="000F1096" w:rsidRPr="000976A8">
        <w:rPr>
          <w:color w:val="000000" w:themeColor="text1"/>
          <w:sz w:val="20"/>
          <w:szCs w:val="20"/>
        </w:rPr>
        <w:t xml:space="preserve"> As for the first step of this work, it is necessary to update the existing evaluation methodology TR for NR sidelink in [</w:t>
      </w:r>
      <w:r w:rsidR="00010C0C" w:rsidRPr="000976A8">
        <w:rPr>
          <w:color w:val="000000" w:themeColor="text1"/>
          <w:sz w:val="20"/>
          <w:szCs w:val="20"/>
        </w:rPr>
        <w:t>2</w:t>
      </w:r>
      <w:r w:rsidR="000F1096" w:rsidRPr="000976A8">
        <w:rPr>
          <w:color w:val="000000" w:themeColor="text1"/>
          <w:sz w:val="20"/>
          <w:szCs w:val="20"/>
        </w:rPr>
        <w:t>] by introducing new evaluation assumptions and performance metric for evaluating the power saving aspect of NR sidelink operation. The exact objective of this work extracted from [1], is copied in the following.</w:t>
      </w:r>
    </w:p>
    <w:tbl>
      <w:tblPr>
        <w:tblStyle w:val="TableGrid"/>
        <w:tblW w:w="0" w:type="auto"/>
        <w:tblLook w:val="04A0" w:firstRow="1" w:lastRow="0" w:firstColumn="1" w:lastColumn="0" w:noHBand="0" w:noVBand="1"/>
      </w:tblPr>
      <w:tblGrid>
        <w:gridCol w:w="9016"/>
      </w:tblGrid>
      <w:tr w:rsidR="005A1FA9" w:rsidRPr="00A3027B" w14:paraId="26C80F2D" w14:textId="77777777" w:rsidTr="005A1FA9">
        <w:tc>
          <w:tcPr>
            <w:tcW w:w="9016" w:type="dxa"/>
          </w:tcPr>
          <w:p w14:paraId="335099C9" w14:textId="77777777" w:rsidR="005A1FA9" w:rsidRPr="00A3027B" w:rsidRDefault="005A1FA9" w:rsidP="005A1FA9">
            <w:pPr>
              <w:overflowPunct w:val="0"/>
              <w:autoSpaceDE w:val="0"/>
              <w:autoSpaceDN w:val="0"/>
              <w:adjustRightInd w:val="0"/>
              <w:spacing w:before="120" w:after="120"/>
              <w:jc w:val="left"/>
              <w:textAlignment w:val="baseline"/>
              <w:rPr>
                <w:rFonts w:ascii="Times New Roman" w:eastAsia="Malgun Gothic" w:hAnsi="Times New Roman" w:cs="Times New Roman"/>
                <w:sz w:val="20"/>
                <w:szCs w:val="20"/>
                <w:lang w:eastAsia="ko-KR"/>
              </w:rPr>
            </w:pPr>
            <w:r w:rsidRPr="00A3027B">
              <w:rPr>
                <w:rFonts w:ascii="Times New Roman" w:eastAsia="Malgun Gothic" w:hAnsi="Times New Roman" w:cs="Times New Roman" w:hint="eastAsia"/>
                <w:sz w:val="20"/>
                <w:szCs w:val="20"/>
                <w:lang w:eastAsia="ko-KR"/>
              </w:rPr>
              <w:t>1.</w:t>
            </w:r>
            <w:r w:rsidRPr="00A3027B">
              <w:rPr>
                <w:rFonts w:ascii="Times New Roman" w:eastAsia="Malgun Gothic" w:hAnsi="Times New Roman" w:cs="Times New Roman"/>
                <w:sz w:val="20"/>
                <w:szCs w:val="20"/>
                <w:lang w:eastAsia="ko-KR"/>
              </w:rPr>
              <w:t xml:space="preserve"> Sidelink evaluation methodology update: Define evaluation assumption and performance metric for power saving by reusing TR 36.843 and/or TR 38.840 (to be completed by RAN#89) [RAN1]</w:t>
            </w:r>
          </w:p>
          <w:p w14:paraId="50C16838" w14:textId="4A58F855" w:rsidR="005A1FA9" w:rsidRPr="00A3027B" w:rsidRDefault="005A1FA9" w:rsidP="005A1FA9">
            <w:pPr>
              <w:numPr>
                <w:ilvl w:val="0"/>
                <w:numId w:val="40"/>
              </w:numPr>
              <w:overflowPunct w:val="0"/>
              <w:autoSpaceDE w:val="0"/>
              <w:autoSpaceDN w:val="0"/>
              <w:adjustRightInd w:val="0"/>
              <w:spacing w:after="120"/>
              <w:jc w:val="left"/>
              <w:textAlignment w:val="baseline"/>
              <w:rPr>
                <w:rFonts w:ascii="Times New Roman" w:eastAsia="Malgun Gothic" w:hAnsi="Times New Roman" w:cs="Times New Roman"/>
                <w:sz w:val="20"/>
                <w:szCs w:val="20"/>
                <w:lang w:eastAsia="ko-KR"/>
              </w:rPr>
            </w:pPr>
            <w:r w:rsidRPr="00A3027B">
              <w:rPr>
                <w:rFonts w:ascii="Times New Roman" w:eastAsia="Malgun Gothic" w:hAnsi="Times New Roman" w:cs="Times New Roman"/>
                <w:sz w:val="20"/>
                <w:szCs w:val="20"/>
                <w:lang w:eastAsia="ko-KR"/>
              </w:rPr>
              <w:t xml:space="preserve">Note: TR 37.885 is reused for the other evaluation assumption and performance metric. Vehicle dropping model B and antenna option 2 shall be a more realistic baseline for highway and urban grid scenarios. </w:t>
            </w:r>
          </w:p>
        </w:tc>
      </w:tr>
    </w:tbl>
    <w:p w14:paraId="0109469F" w14:textId="2E95D39E" w:rsidR="00B573CF" w:rsidRPr="000976A8" w:rsidRDefault="00630849" w:rsidP="00330459">
      <w:pPr>
        <w:pStyle w:val="BodyText"/>
        <w:spacing w:before="120" w:after="360"/>
        <w:rPr>
          <w:color w:val="000000" w:themeColor="text1"/>
          <w:sz w:val="20"/>
          <w:szCs w:val="20"/>
        </w:rPr>
      </w:pPr>
      <w:r w:rsidRPr="000976A8">
        <w:rPr>
          <w:color w:val="000000" w:themeColor="text1"/>
          <w:sz w:val="20"/>
          <w:szCs w:val="20"/>
        </w:rPr>
        <w:t xml:space="preserve">In this contribution, we provide some discussions on this </w:t>
      </w:r>
      <w:r w:rsidR="000F1096" w:rsidRPr="000976A8">
        <w:rPr>
          <w:color w:val="000000" w:themeColor="text1"/>
          <w:sz w:val="20"/>
          <w:szCs w:val="20"/>
        </w:rPr>
        <w:t>evaluation methodology update work</w:t>
      </w:r>
      <w:r w:rsidRPr="000976A8">
        <w:rPr>
          <w:color w:val="000000" w:themeColor="text1"/>
          <w:sz w:val="20"/>
          <w:szCs w:val="20"/>
        </w:rPr>
        <w:t>.</w:t>
      </w:r>
    </w:p>
    <w:p w14:paraId="2DDFB004" w14:textId="345D2B24" w:rsidR="00BC0557" w:rsidRPr="0031043E" w:rsidRDefault="00BC0557" w:rsidP="00BC0557">
      <w:pPr>
        <w:spacing w:after="120"/>
        <w:rPr>
          <w:b/>
          <w:sz w:val="22"/>
          <w:szCs w:val="22"/>
        </w:rPr>
      </w:pPr>
      <w:r w:rsidRPr="0031043E">
        <w:rPr>
          <w:b/>
          <w:sz w:val="22"/>
          <w:szCs w:val="22"/>
        </w:rPr>
        <w:t xml:space="preserve">2. </w:t>
      </w:r>
      <w:r w:rsidR="007E3686" w:rsidRPr="0031043E">
        <w:rPr>
          <w:b/>
          <w:sz w:val="22"/>
          <w:szCs w:val="22"/>
        </w:rPr>
        <w:t>Discussions</w:t>
      </w:r>
    </w:p>
    <w:p w14:paraId="1053A56E" w14:textId="78622870" w:rsidR="00E13651" w:rsidRPr="00C8090B" w:rsidRDefault="00A3027B" w:rsidP="009C6D95">
      <w:pPr>
        <w:spacing w:after="120"/>
        <w:rPr>
          <w:color w:val="000000" w:themeColor="text1"/>
          <w:sz w:val="20"/>
          <w:szCs w:val="20"/>
        </w:rPr>
      </w:pPr>
      <w:r w:rsidRPr="00C8090B">
        <w:rPr>
          <w:color w:val="000000" w:themeColor="text1"/>
          <w:sz w:val="20"/>
          <w:szCs w:val="20"/>
        </w:rPr>
        <w:t>For</w:t>
      </w:r>
      <w:r w:rsidR="000976A8" w:rsidRPr="00C8090B">
        <w:rPr>
          <w:color w:val="000000" w:themeColor="text1"/>
          <w:sz w:val="20"/>
          <w:szCs w:val="20"/>
        </w:rPr>
        <w:t xml:space="preserve"> the power consumption model </w:t>
      </w:r>
      <w:r w:rsidRPr="00C8090B">
        <w:rPr>
          <w:color w:val="000000" w:themeColor="text1"/>
          <w:sz w:val="20"/>
          <w:szCs w:val="20"/>
        </w:rPr>
        <w:t>used for evaluating LTE sidelink D2D in Rel-12</w:t>
      </w:r>
      <w:r w:rsidR="000976A8" w:rsidRPr="00C8090B">
        <w:rPr>
          <w:color w:val="000000" w:themeColor="text1"/>
          <w:sz w:val="20"/>
          <w:szCs w:val="20"/>
        </w:rPr>
        <w:t xml:space="preserve">, </w:t>
      </w:r>
      <w:r w:rsidRPr="00C8090B">
        <w:rPr>
          <w:color w:val="000000" w:themeColor="text1"/>
          <w:sz w:val="20"/>
          <w:szCs w:val="20"/>
        </w:rPr>
        <w:t xml:space="preserve">the following parameters and assumptions were captured in [3]. </w:t>
      </w:r>
    </w:p>
    <w:tbl>
      <w:tblPr>
        <w:tblStyle w:val="TableGrid"/>
        <w:tblW w:w="0" w:type="auto"/>
        <w:tblLook w:val="04A0" w:firstRow="1" w:lastRow="0" w:firstColumn="1" w:lastColumn="0" w:noHBand="0" w:noVBand="1"/>
      </w:tblPr>
      <w:tblGrid>
        <w:gridCol w:w="9016"/>
      </w:tblGrid>
      <w:tr w:rsidR="00A3027B" w14:paraId="2ACB2FD5" w14:textId="77777777" w:rsidTr="00A3027B">
        <w:tc>
          <w:tcPr>
            <w:tcW w:w="9016" w:type="dxa"/>
          </w:tcPr>
          <w:p w14:paraId="0695AB34" w14:textId="77777777" w:rsidR="00A3027B" w:rsidRPr="0046353B" w:rsidRDefault="00A3027B" w:rsidP="00A3027B">
            <w:pPr>
              <w:pStyle w:val="B1"/>
              <w:tabs>
                <w:tab w:val="left" w:pos="1276"/>
              </w:tabs>
              <w:spacing w:after="60"/>
              <w:ind w:left="993" w:firstLine="0"/>
              <w:rPr>
                <w:lang w:val="en-US"/>
              </w:rPr>
            </w:pPr>
            <w:r w:rsidRPr="0046353B">
              <w:rPr>
                <w:lang w:val="en-US"/>
              </w:rPr>
              <w:t>-</w:t>
            </w:r>
            <w:r w:rsidRPr="0046353B">
              <w:rPr>
                <w:lang w:val="en-US"/>
              </w:rPr>
              <w:tab/>
              <w:t>Sleep power = 0.01 unit per sub-frame</w:t>
            </w:r>
          </w:p>
          <w:p w14:paraId="36D5998C" w14:textId="77777777" w:rsidR="00A3027B" w:rsidRPr="0046353B" w:rsidRDefault="00A3027B" w:rsidP="00A3027B">
            <w:pPr>
              <w:pStyle w:val="B1"/>
              <w:tabs>
                <w:tab w:val="left" w:pos="1276"/>
              </w:tabs>
              <w:spacing w:after="60"/>
              <w:ind w:left="993" w:firstLine="0"/>
              <w:rPr>
                <w:lang w:val="en-US"/>
              </w:rPr>
            </w:pPr>
            <w:r w:rsidRPr="0046353B">
              <w:rPr>
                <w:lang w:val="en-US"/>
              </w:rPr>
              <w:t>-</w:t>
            </w:r>
            <w:r w:rsidRPr="0046353B">
              <w:rPr>
                <w:lang w:val="en-US"/>
              </w:rPr>
              <w:tab/>
              <w:t>RX Power = 1 unit per sub-frame</w:t>
            </w:r>
          </w:p>
          <w:p w14:paraId="3B70576B" w14:textId="77777777" w:rsidR="00A3027B" w:rsidRPr="0046353B" w:rsidRDefault="00A3027B" w:rsidP="00A3027B">
            <w:pPr>
              <w:pStyle w:val="B1"/>
              <w:tabs>
                <w:tab w:val="left" w:pos="1276"/>
              </w:tabs>
              <w:spacing w:after="60"/>
              <w:ind w:left="993" w:firstLine="0"/>
              <w:rPr>
                <w:lang w:val="en-US"/>
              </w:rPr>
            </w:pPr>
            <w:r w:rsidRPr="0046353B">
              <w:rPr>
                <w:lang w:val="en-US"/>
              </w:rPr>
              <w:t>-</w:t>
            </w:r>
            <w:r w:rsidRPr="0046353B">
              <w:rPr>
                <w:lang w:val="en-US"/>
              </w:rPr>
              <w:tab/>
              <w:t xml:space="preserve">TX power </w:t>
            </w:r>
          </w:p>
          <w:p w14:paraId="5FD66941" w14:textId="77777777" w:rsidR="00A3027B" w:rsidRPr="0046353B" w:rsidRDefault="00A3027B" w:rsidP="00A3027B">
            <w:pPr>
              <w:pStyle w:val="B2"/>
              <w:tabs>
                <w:tab w:val="left" w:pos="1701"/>
              </w:tabs>
              <w:spacing w:after="60"/>
              <w:ind w:left="1418" w:firstLine="0"/>
              <w:rPr>
                <w:lang w:val="en-US"/>
              </w:rPr>
            </w:pPr>
            <w:r w:rsidRPr="0046353B">
              <w:rPr>
                <w:lang w:val="en-US"/>
              </w:rPr>
              <w:t>-</w:t>
            </w:r>
            <w:r w:rsidRPr="0046353B">
              <w:rPr>
                <w:lang w:val="en-US"/>
              </w:rPr>
              <w:tab/>
              <w:t xml:space="preserve">20 unit per sub-frame for 31 dBm </w:t>
            </w:r>
          </w:p>
          <w:p w14:paraId="3F90C418" w14:textId="77777777" w:rsidR="00A3027B" w:rsidRPr="0046353B" w:rsidRDefault="00A3027B" w:rsidP="00A3027B">
            <w:pPr>
              <w:pStyle w:val="B2"/>
              <w:tabs>
                <w:tab w:val="left" w:pos="1701"/>
              </w:tabs>
              <w:spacing w:after="60"/>
              <w:ind w:left="1418" w:firstLine="0"/>
              <w:rPr>
                <w:lang w:val="en-US"/>
              </w:rPr>
            </w:pPr>
            <w:r w:rsidRPr="0046353B">
              <w:rPr>
                <w:lang w:val="en-US"/>
              </w:rPr>
              <w:t>-</w:t>
            </w:r>
            <w:r w:rsidRPr="0046353B">
              <w:rPr>
                <w:lang w:val="en-US"/>
              </w:rPr>
              <w:tab/>
              <w:t>1 unit per sub-frame for 0 dBm and below</w:t>
            </w:r>
          </w:p>
          <w:p w14:paraId="2FBFB29F" w14:textId="77777777" w:rsidR="00A3027B" w:rsidRPr="0046353B" w:rsidRDefault="00A3027B" w:rsidP="00A3027B">
            <w:pPr>
              <w:pStyle w:val="B2"/>
              <w:tabs>
                <w:tab w:val="left" w:pos="1701"/>
              </w:tabs>
              <w:spacing w:after="60"/>
              <w:ind w:left="1418" w:firstLine="0"/>
              <w:rPr>
                <w:lang w:val="en-US"/>
              </w:rPr>
            </w:pPr>
            <w:r w:rsidRPr="0046353B">
              <w:rPr>
                <w:lang w:val="en-US"/>
              </w:rPr>
              <w:t>-</w:t>
            </w:r>
            <w:r w:rsidRPr="0046353B">
              <w:rPr>
                <w:lang w:val="en-US"/>
              </w:rPr>
              <w:tab/>
              <w:t>Linearly scaled with transmit power between 1mW and 10^3.1mW</w:t>
            </w:r>
          </w:p>
          <w:p w14:paraId="683458CC" w14:textId="77777777" w:rsidR="00A3027B" w:rsidRPr="0046353B" w:rsidRDefault="00A3027B" w:rsidP="00A3027B">
            <w:pPr>
              <w:pStyle w:val="B1"/>
              <w:tabs>
                <w:tab w:val="left" w:pos="1276"/>
              </w:tabs>
              <w:spacing w:after="60"/>
              <w:ind w:left="993" w:firstLine="0"/>
              <w:rPr>
                <w:lang w:val="en-US"/>
              </w:rPr>
            </w:pPr>
            <w:r w:rsidRPr="0046353B">
              <w:rPr>
                <w:lang w:val="en-US"/>
              </w:rPr>
              <w:t>-</w:t>
            </w:r>
            <w:r w:rsidRPr="0046353B">
              <w:rPr>
                <w:lang w:val="en-US"/>
              </w:rPr>
              <w:tab/>
              <w:t>Assume 8 sub-frames are accumulated for synchronization with WAN</w:t>
            </w:r>
          </w:p>
          <w:p w14:paraId="3B3F7E8C" w14:textId="77777777" w:rsidR="00A3027B" w:rsidRPr="0046353B" w:rsidRDefault="00A3027B" w:rsidP="00A3027B">
            <w:pPr>
              <w:pStyle w:val="B2"/>
              <w:tabs>
                <w:tab w:val="left" w:pos="1701"/>
              </w:tabs>
              <w:spacing w:after="60"/>
              <w:ind w:left="1418" w:firstLine="0"/>
              <w:rPr>
                <w:lang w:val="en-US"/>
              </w:rPr>
            </w:pPr>
            <w:r w:rsidRPr="0046353B">
              <w:rPr>
                <w:lang w:val="en-US"/>
              </w:rPr>
              <w:t>-</w:t>
            </w:r>
            <w:r w:rsidRPr="0046353B">
              <w:rPr>
                <w:lang w:val="en-US"/>
              </w:rPr>
              <w:tab/>
              <w:t>Synchronization is assumed to be reliable for 0.5s</w:t>
            </w:r>
          </w:p>
          <w:p w14:paraId="0DE6A50B" w14:textId="77777777" w:rsidR="00A3027B" w:rsidRPr="0046353B" w:rsidRDefault="00A3027B" w:rsidP="00A3027B">
            <w:pPr>
              <w:pStyle w:val="B1"/>
              <w:tabs>
                <w:tab w:val="left" w:pos="1276"/>
              </w:tabs>
              <w:spacing w:after="60"/>
              <w:ind w:left="993" w:firstLine="0"/>
              <w:rPr>
                <w:lang w:val="en-US"/>
              </w:rPr>
            </w:pPr>
            <w:r w:rsidRPr="0046353B">
              <w:rPr>
                <w:lang w:val="en-US"/>
              </w:rPr>
              <w:t>-</w:t>
            </w:r>
            <w:r w:rsidRPr="0046353B">
              <w:rPr>
                <w:lang w:val="en-US"/>
              </w:rPr>
              <w:tab/>
              <w:t>GPS power = 0.08 unit per sub-frame</w:t>
            </w:r>
          </w:p>
          <w:p w14:paraId="645644DA" w14:textId="77777777" w:rsidR="00A3027B" w:rsidRPr="0046353B" w:rsidRDefault="00A3027B" w:rsidP="00A3027B">
            <w:pPr>
              <w:pStyle w:val="B2"/>
              <w:tabs>
                <w:tab w:val="left" w:pos="1701"/>
              </w:tabs>
              <w:spacing w:after="60"/>
              <w:ind w:left="1418" w:firstLine="0"/>
              <w:rPr>
                <w:lang w:val="en-US"/>
              </w:rPr>
            </w:pPr>
            <w:r w:rsidRPr="0046353B">
              <w:rPr>
                <w:lang w:val="en-US"/>
              </w:rPr>
              <w:t>-</w:t>
            </w:r>
            <w:r w:rsidRPr="0046353B">
              <w:rPr>
                <w:lang w:val="en-US"/>
              </w:rPr>
              <w:tab/>
              <w:t>Average power consumption when GPS is used</w:t>
            </w:r>
          </w:p>
          <w:p w14:paraId="2C8FFC34" w14:textId="71365513" w:rsidR="00A3027B" w:rsidRPr="00A3027B" w:rsidRDefault="00A3027B" w:rsidP="00A3027B">
            <w:pPr>
              <w:pStyle w:val="B2"/>
              <w:tabs>
                <w:tab w:val="left" w:pos="1701"/>
              </w:tabs>
              <w:spacing w:after="60"/>
              <w:ind w:left="1418" w:firstLine="0"/>
              <w:rPr>
                <w:lang w:val="en-US"/>
              </w:rPr>
            </w:pPr>
            <w:r w:rsidRPr="0046353B">
              <w:rPr>
                <w:lang w:val="en-US"/>
              </w:rPr>
              <w:t>-</w:t>
            </w:r>
            <w:r w:rsidRPr="0046353B">
              <w:rPr>
                <w:lang w:val="en-US"/>
              </w:rPr>
              <w:tab/>
              <w:t>Always on independently of other communications</w:t>
            </w:r>
          </w:p>
        </w:tc>
      </w:tr>
    </w:tbl>
    <w:p w14:paraId="4DA13FD2" w14:textId="4FDE2E28" w:rsidR="00420A8C" w:rsidRPr="00C8090B" w:rsidRDefault="00A3027B" w:rsidP="00A3027B">
      <w:pPr>
        <w:spacing w:before="120" w:after="120"/>
        <w:rPr>
          <w:color w:val="000000" w:themeColor="text1"/>
          <w:sz w:val="20"/>
          <w:szCs w:val="20"/>
        </w:rPr>
      </w:pPr>
      <w:r w:rsidRPr="00C8090B">
        <w:rPr>
          <w:color w:val="000000" w:themeColor="text1"/>
          <w:sz w:val="20"/>
          <w:szCs w:val="20"/>
        </w:rPr>
        <w:t xml:space="preserve">From the perspective of </w:t>
      </w:r>
      <w:r w:rsidR="00420A8C" w:rsidRPr="00C8090B">
        <w:rPr>
          <w:color w:val="000000" w:themeColor="text1"/>
          <w:sz w:val="20"/>
          <w:szCs w:val="20"/>
        </w:rPr>
        <w:t xml:space="preserve">UE </w:t>
      </w:r>
      <w:r w:rsidRPr="00C8090B">
        <w:rPr>
          <w:color w:val="000000" w:themeColor="text1"/>
          <w:sz w:val="20"/>
          <w:szCs w:val="20"/>
        </w:rPr>
        <w:t xml:space="preserve">transmission, the Tx power consumption is mostly related to UE </w:t>
      </w:r>
      <w:r w:rsidR="00420A8C" w:rsidRPr="00C8090B">
        <w:rPr>
          <w:color w:val="000000" w:themeColor="text1"/>
          <w:sz w:val="20"/>
          <w:szCs w:val="20"/>
        </w:rPr>
        <w:t xml:space="preserve">power class (or </w:t>
      </w:r>
      <w:proofErr w:type="spellStart"/>
      <w:r w:rsidR="00420A8C" w:rsidRPr="00C8090B">
        <w:rPr>
          <w:color w:val="000000" w:themeColor="text1"/>
          <w:sz w:val="20"/>
          <w:szCs w:val="20"/>
        </w:rPr>
        <w:t>Pcmax</w:t>
      </w:r>
      <w:proofErr w:type="spellEnd"/>
      <w:r w:rsidR="00420A8C" w:rsidRPr="00C8090B">
        <w:rPr>
          <w:color w:val="000000" w:themeColor="text1"/>
          <w:sz w:val="20"/>
          <w:szCs w:val="20"/>
        </w:rPr>
        <w:t>) that can be used for SL transmission within a symbol and the length of the symbol. Naturally, the longer and/or higher power the UE transmits, the more battery it consumes. Similarly, from the perspective of UE reception, the longer and/or more Rx chains the UE turns on the reception circuitry, the more battery it consumes. From this regard, since LTE and NR sidelink both incorporate a symbol at the beginning and at the end of a SL subframe/slot for AGC and switching gap</w:t>
      </w:r>
      <w:r w:rsidR="009214A8" w:rsidRPr="00C8090B">
        <w:rPr>
          <w:color w:val="000000" w:themeColor="text1"/>
          <w:sz w:val="20"/>
          <w:szCs w:val="20"/>
        </w:rPr>
        <w:t>, respectively, both have 14 symbols within a slot/subframe, and both need to synchronize to WAN when in-coverage and GNSS when out-of-coverage, the above power consumption model for Rel-12 LTE D2D can mostly be reused for Rel-17 NR sidelink.</w:t>
      </w:r>
    </w:p>
    <w:p w14:paraId="355C38A0" w14:textId="08C7E967" w:rsidR="009214A8" w:rsidRDefault="009214A8" w:rsidP="00C8090B">
      <w:pPr>
        <w:spacing w:before="120" w:after="120"/>
        <w:rPr>
          <w:color w:val="000000" w:themeColor="text1"/>
          <w:sz w:val="20"/>
          <w:szCs w:val="20"/>
        </w:rPr>
      </w:pPr>
      <w:r w:rsidRPr="00C8090B">
        <w:rPr>
          <w:color w:val="000000" w:themeColor="text1"/>
          <w:sz w:val="20"/>
          <w:szCs w:val="20"/>
        </w:rPr>
        <w:lastRenderedPageBreak/>
        <w:t>However, the</w:t>
      </w:r>
      <w:r w:rsidR="00C8090B" w:rsidRPr="00C8090B">
        <w:rPr>
          <w:color w:val="000000" w:themeColor="text1"/>
          <w:sz w:val="20"/>
          <w:szCs w:val="20"/>
        </w:rPr>
        <w:t xml:space="preserve"> </w:t>
      </w:r>
      <w:r w:rsidRPr="00C8090B">
        <w:rPr>
          <w:color w:val="000000" w:themeColor="text1"/>
          <w:sz w:val="20"/>
          <w:szCs w:val="20"/>
        </w:rPr>
        <w:t>difference</w:t>
      </w:r>
      <w:r w:rsidR="00C8090B" w:rsidRPr="00C8090B">
        <w:rPr>
          <w:color w:val="000000" w:themeColor="text1"/>
          <w:sz w:val="20"/>
          <w:szCs w:val="20"/>
        </w:rPr>
        <w:t xml:space="preserve"> in length of an LTE subframe and a NR slot due to subcarrier spacing </w:t>
      </w:r>
      <w:r w:rsidRPr="00C8090B">
        <w:rPr>
          <w:color w:val="000000" w:themeColor="text1"/>
          <w:sz w:val="20"/>
          <w:szCs w:val="20"/>
        </w:rPr>
        <w:t>should be taken into account</w:t>
      </w:r>
      <w:r w:rsidR="00C8090B" w:rsidRPr="00C8090B">
        <w:rPr>
          <w:color w:val="000000" w:themeColor="text1"/>
          <w:sz w:val="20"/>
          <w:szCs w:val="20"/>
        </w:rPr>
        <w:t xml:space="preserve">. </w:t>
      </w:r>
      <w:r w:rsidRPr="00C8090B">
        <w:rPr>
          <w:color w:val="000000" w:themeColor="text1"/>
          <w:sz w:val="20"/>
          <w:szCs w:val="20"/>
        </w:rPr>
        <w:t>In LTE, the most common/used SCS is 15kHz and so the subframe duration is 1ms. In NR sidelink, on the other hand, support</w:t>
      </w:r>
      <w:r w:rsidR="00B45EC3" w:rsidRPr="00C8090B">
        <w:rPr>
          <w:color w:val="000000" w:themeColor="text1"/>
          <w:sz w:val="20"/>
          <w:szCs w:val="20"/>
        </w:rPr>
        <w:t>s</w:t>
      </w:r>
      <w:r w:rsidRPr="00C8090B">
        <w:rPr>
          <w:color w:val="000000" w:themeColor="text1"/>
          <w:sz w:val="20"/>
          <w:szCs w:val="20"/>
        </w:rPr>
        <w:t xml:space="preserve"> a number of </w:t>
      </w:r>
      <w:r w:rsidR="00B45EC3" w:rsidRPr="00C8090B">
        <w:rPr>
          <w:color w:val="000000" w:themeColor="text1"/>
          <w:sz w:val="20"/>
          <w:szCs w:val="20"/>
        </w:rPr>
        <w:t xml:space="preserve">different </w:t>
      </w:r>
      <w:r w:rsidRPr="00C8090B">
        <w:rPr>
          <w:color w:val="000000" w:themeColor="text1"/>
          <w:sz w:val="20"/>
          <w:szCs w:val="20"/>
        </w:rPr>
        <w:t xml:space="preserve">SCS’s </w:t>
      </w:r>
      <w:r w:rsidR="00B45EC3" w:rsidRPr="00C8090B">
        <w:rPr>
          <w:color w:val="000000" w:themeColor="text1"/>
          <w:sz w:val="20"/>
          <w:szCs w:val="20"/>
        </w:rPr>
        <w:t xml:space="preserve">in FR1 and FR2. </w:t>
      </w:r>
      <w:r w:rsidRPr="00C8090B">
        <w:rPr>
          <w:color w:val="000000" w:themeColor="text1"/>
          <w:sz w:val="20"/>
          <w:szCs w:val="20"/>
        </w:rPr>
        <w:t xml:space="preserve"> </w:t>
      </w:r>
      <w:r w:rsidR="00B45EC3" w:rsidRPr="00C8090B">
        <w:rPr>
          <w:color w:val="000000" w:themeColor="text1"/>
          <w:sz w:val="20"/>
          <w:szCs w:val="20"/>
        </w:rPr>
        <w:t xml:space="preserve">Since it is mostly assumed that 30kHz will be used in the 5.9GHz ITS band, a NR sidelink slot of 14 symbols for </w:t>
      </w:r>
      <w:r w:rsidR="00474BBD">
        <w:rPr>
          <w:color w:val="000000" w:themeColor="text1"/>
          <w:sz w:val="20"/>
          <w:szCs w:val="20"/>
          <w:lang w:val="en-AU"/>
        </w:rPr>
        <w:t xml:space="preserve">a </w:t>
      </w:r>
      <w:r w:rsidR="00B45EC3" w:rsidRPr="00C8090B">
        <w:rPr>
          <w:color w:val="000000" w:themeColor="text1"/>
          <w:sz w:val="20"/>
          <w:szCs w:val="20"/>
        </w:rPr>
        <w:t>normal CP should consume only half of that of the LTE sidelink.</w:t>
      </w:r>
      <w:r w:rsidR="00F94228" w:rsidRPr="00C8090B">
        <w:rPr>
          <w:color w:val="000000" w:themeColor="text1"/>
          <w:sz w:val="20"/>
          <w:szCs w:val="20"/>
        </w:rPr>
        <w:t xml:space="preserve"> Therefore, the number of units </w:t>
      </w:r>
      <w:r w:rsidR="00067DB2" w:rsidRPr="00C8090B">
        <w:rPr>
          <w:color w:val="000000" w:themeColor="text1"/>
          <w:sz w:val="20"/>
          <w:szCs w:val="20"/>
        </w:rPr>
        <w:t xml:space="preserve">per slot </w:t>
      </w:r>
      <w:r w:rsidR="00F94228" w:rsidRPr="00C8090B">
        <w:rPr>
          <w:color w:val="000000" w:themeColor="text1"/>
          <w:sz w:val="20"/>
          <w:szCs w:val="20"/>
        </w:rPr>
        <w:t xml:space="preserve">for </w:t>
      </w:r>
      <w:r w:rsidR="00067DB2" w:rsidRPr="00C8090B">
        <w:rPr>
          <w:color w:val="000000" w:themeColor="text1"/>
          <w:sz w:val="20"/>
          <w:szCs w:val="20"/>
        </w:rPr>
        <w:t xml:space="preserve">NR sidelink </w:t>
      </w:r>
      <w:r w:rsidR="00F94228" w:rsidRPr="00C8090B">
        <w:rPr>
          <w:color w:val="000000" w:themeColor="text1"/>
          <w:sz w:val="20"/>
          <w:szCs w:val="20"/>
        </w:rPr>
        <w:t>Tx/Rx/sleep power should be adjusted accordingly.</w:t>
      </w:r>
    </w:p>
    <w:p w14:paraId="546D12DE" w14:textId="6838CBC8" w:rsidR="00A334B0" w:rsidRPr="00C8090B" w:rsidRDefault="00A334B0" w:rsidP="00A334B0">
      <w:pPr>
        <w:spacing w:after="120"/>
        <w:rPr>
          <w:color w:val="000000" w:themeColor="text1"/>
          <w:sz w:val="20"/>
          <w:szCs w:val="20"/>
        </w:rPr>
      </w:pPr>
      <w:r w:rsidRPr="00C8090B">
        <w:rPr>
          <w:color w:val="000000" w:themeColor="text1"/>
          <w:sz w:val="20"/>
          <w:szCs w:val="20"/>
        </w:rPr>
        <w:t xml:space="preserve">For the </w:t>
      </w:r>
      <w:r w:rsidR="0074224D">
        <w:rPr>
          <w:color w:val="000000" w:themeColor="text1"/>
          <w:sz w:val="20"/>
          <w:szCs w:val="20"/>
        </w:rPr>
        <w:t>power</w:t>
      </w:r>
      <w:r w:rsidRPr="00C8090B">
        <w:rPr>
          <w:color w:val="000000" w:themeColor="text1"/>
          <w:sz w:val="20"/>
          <w:szCs w:val="20"/>
        </w:rPr>
        <w:t xml:space="preserve"> consumption model </w:t>
      </w:r>
      <w:r w:rsidR="0074224D">
        <w:rPr>
          <w:color w:val="000000" w:themeColor="text1"/>
          <w:sz w:val="20"/>
          <w:szCs w:val="20"/>
        </w:rPr>
        <w:t xml:space="preserve">and performance metric </w:t>
      </w:r>
      <w:r w:rsidRPr="00C8090B">
        <w:rPr>
          <w:color w:val="000000" w:themeColor="text1"/>
          <w:sz w:val="20"/>
          <w:szCs w:val="20"/>
        </w:rPr>
        <w:t>used for evaluating</w:t>
      </w:r>
      <w:r w:rsidR="0074224D">
        <w:rPr>
          <w:color w:val="000000" w:themeColor="text1"/>
          <w:sz w:val="20"/>
          <w:szCs w:val="20"/>
        </w:rPr>
        <w:t xml:space="preserve"> NR UE power saving i</w:t>
      </w:r>
      <w:r w:rsidRPr="00C8090B">
        <w:rPr>
          <w:color w:val="000000" w:themeColor="text1"/>
          <w:sz w:val="20"/>
          <w:szCs w:val="20"/>
        </w:rPr>
        <w:t>n Rel-1</w:t>
      </w:r>
      <w:r w:rsidR="0074224D">
        <w:rPr>
          <w:color w:val="000000" w:themeColor="text1"/>
          <w:sz w:val="20"/>
          <w:szCs w:val="20"/>
        </w:rPr>
        <w:t>6</w:t>
      </w:r>
      <w:r w:rsidRPr="00C8090B">
        <w:rPr>
          <w:color w:val="000000" w:themeColor="text1"/>
          <w:sz w:val="20"/>
          <w:szCs w:val="20"/>
        </w:rPr>
        <w:t>, the following parameters and assumptions were captured in [</w:t>
      </w:r>
      <w:r w:rsidR="0074224D">
        <w:rPr>
          <w:color w:val="000000" w:themeColor="text1"/>
          <w:sz w:val="20"/>
          <w:szCs w:val="20"/>
        </w:rPr>
        <w:t>4</w:t>
      </w:r>
      <w:r w:rsidRPr="00C8090B">
        <w:rPr>
          <w:color w:val="000000" w:themeColor="text1"/>
          <w:sz w:val="20"/>
          <w:szCs w:val="20"/>
        </w:rPr>
        <w:t xml:space="preserve">]. </w:t>
      </w:r>
    </w:p>
    <w:tbl>
      <w:tblPr>
        <w:tblStyle w:val="TableGrid"/>
        <w:tblW w:w="0" w:type="auto"/>
        <w:tblLook w:val="04A0" w:firstRow="1" w:lastRow="0" w:firstColumn="1" w:lastColumn="0" w:noHBand="0" w:noVBand="1"/>
      </w:tblPr>
      <w:tblGrid>
        <w:gridCol w:w="9016"/>
      </w:tblGrid>
      <w:tr w:rsidR="00A334B0" w14:paraId="59E89A0D" w14:textId="77777777" w:rsidTr="00FD525F">
        <w:tc>
          <w:tcPr>
            <w:tcW w:w="9016" w:type="dxa"/>
          </w:tcPr>
          <w:p w14:paraId="717226E4" w14:textId="77777777" w:rsidR="00A334B0" w:rsidRPr="00A334B0" w:rsidRDefault="00A334B0" w:rsidP="00A334B0">
            <w:pPr>
              <w:pStyle w:val="ListParagraph"/>
              <w:numPr>
                <w:ilvl w:val="0"/>
                <w:numId w:val="41"/>
              </w:numPr>
              <w:spacing w:after="60"/>
              <w:ind w:leftChars="0"/>
              <w:rPr>
                <w:rFonts w:ascii="Times New Roman" w:hAnsi="Times New Roman"/>
                <w:szCs w:val="20"/>
              </w:rPr>
            </w:pPr>
            <w:r w:rsidRPr="00A334B0">
              <w:rPr>
                <w:rFonts w:ascii="Times New Roman" w:hAnsi="Times New Roman"/>
                <w:szCs w:val="20"/>
              </w:rPr>
              <w:t>Power consumption model in FR1</w:t>
            </w:r>
          </w:p>
          <w:p w14:paraId="434AF895" w14:textId="77777777" w:rsidR="00A334B0" w:rsidRPr="001D00BB" w:rsidRDefault="00A334B0" w:rsidP="00A334B0">
            <w:pPr>
              <w:pStyle w:val="B1"/>
              <w:numPr>
                <w:ilvl w:val="1"/>
                <w:numId w:val="41"/>
              </w:numPr>
              <w:spacing w:after="60"/>
              <w:ind w:left="1134"/>
              <w:rPr>
                <w:lang w:val="en-US"/>
              </w:rPr>
            </w:pPr>
            <w:r w:rsidRPr="001D00BB">
              <w:t>Uplink: TDD</w:t>
            </w:r>
          </w:p>
          <w:p w14:paraId="2E2F3A6E" w14:textId="77777777" w:rsidR="00A334B0" w:rsidRPr="001D00BB" w:rsidRDefault="00A334B0" w:rsidP="00A334B0">
            <w:pPr>
              <w:pStyle w:val="B2"/>
              <w:numPr>
                <w:ilvl w:val="1"/>
                <w:numId w:val="41"/>
              </w:numPr>
              <w:spacing w:after="60"/>
              <w:ind w:left="1134"/>
              <w:rPr>
                <w:lang w:val="en-US"/>
              </w:rPr>
            </w:pPr>
            <w:r w:rsidRPr="001D00BB">
              <w:rPr>
                <w:lang w:val="en-US"/>
              </w:rPr>
              <w:t xml:space="preserve">Subcarrier spacing (SCS): </w:t>
            </w:r>
            <w:r w:rsidRPr="001D00BB">
              <w:t xml:space="preserve">30 kHz SCS, </w:t>
            </w:r>
          </w:p>
          <w:p w14:paraId="64E160AE" w14:textId="77777777" w:rsidR="00A334B0" w:rsidRPr="001D00BB" w:rsidRDefault="00A334B0" w:rsidP="00A334B0">
            <w:pPr>
              <w:pStyle w:val="B2"/>
              <w:numPr>
                <w:ilvl w:val="1"/>
                <w:numId w:val="41"/>
              </w:numPr>
              <w:spacing w:after="60"/>
              <w:ind w:left="1134"/>
              <w:rPr>
                <w:lang w:val="en-US"/>
              </w:rPr>
            </w:pPr>
            <w:r w:rsidRPr="001D00BB">
              <w:t>Number of carrier</w:t>
            </w:r>
            <w:r>
              <w:t>s</w:t>
            </w:r>
            <w:r w:rsidRPr="001D00BB">
              <w:t xml:space="preserve">: 1CC, </w:t>
            </w:r>
          </w:p>
          <w:p w14:paraId="3546E16E" w14:textId="77777777" w:rsidR="00A334B0" w:rsidRPr="001D00BB" w:rsidRDefault="00A334B0" w:rsidP="00A334B0">
            <w:pPr>
              <w:pStyle w:val="B2"/>
              <w:numPr>
                <w:ilvl w:val="1"/>
                <w:numId w:val="41"/>
              </w:numPr>
              <w:spacing w:after="60"/>
              <w:ind w:left="1134"/>
              <w:rPr>
                <w:lang w:val="en-US"/>
              </w:rPr>
            </w:pPr>
            <w:r w:rsidRPr="001D00BB">
              <w:t xml:space="preserve">System Bandwidth: 100MHz, </w:t>
            </w:r>
          </w:p>
          <w:p w14:paraId="7B431A37" w14:textId="77777777" w:rsidR="00A334B0" w:rsidRPr="001D00BB" w:rsidRDefault="00A334B0" w:rsidP="00A334B0">
            <w:pPr>
              <w:pStyle w:val="B2"/>
              <w:numPr>
                <w:ilvl w:val="1"/>
                <w:numId w:val="41"/>
              </w:numPr>
              <w:spacing w:after="60"/>
              <w:ind w:left="1134"/>
              <w:rPr>
                <w:lang w:val="en-US"/>
              </w:rPr>
            </w:pPr>
            <w:r w:rsidRPr="001D00BB">
              <w:t xml:space="preserve">Tx antenna configuration: 1TX, </w:t>
            </w:r>
          </w:p>
          <w:p w14:paraId="5851A757" w14:textId="77777777" w:rsidR="00A334B0" w:rsidRPr="001D00BB" w:rsidRDefault="00A334B0" w:rsidP="00A334B0">
            <w:pPr>
              <w:pStyle w:val="B2"/>
              <w:numPr>
                <w:ilvl w:val="1"/>
                <w:numId w:val="41"/>
              </w:numPr>
              <w:spacing w:after="60"/>
              <w:ind w:left="1134"/>
              <w:rPr>
                <w:lang w:val="en-US"/>
              </w:rPr>
            </w:pPr>
            <w:r w:rsidRPr="001D00BB">
              <w:t>Power levels: 0dBm and 23dBm</w:t>
            </w:r>
          </w:p>
          <w:p w14:paraId="4F8D9C15" w14:textId="77777777" w:rsidR="00A334B0" w:rsidRPr="001D00BB" w:rsidRDefault="00A334B0" w:rsidP="00A334B0">
            <w:pPr>
              <w:pStyle w:val="B1"/>
              <w:numPr>
                <w:ilvl w:val="1"/>
                <w:numId w:val="41"/>
              </w:numPr>
              <w:spacing w:after="60"/>
              <w:ind w:left="1134"/>
              <w:rPr>
                <w:lang w:val="en-US"/>
              </w:rPr>
            </w:pPr>
            <w:r w:rsidRPr="001D00BB">
              <w:t>Power values are averaged over the operations within a slot.</w:t>
            </w:r>
          </w:p>
          <w:p w14:paraId="06A9A58D" w14:textId="77777777" w:rsidR="00A334B0" w:rsidRPr="00F95645" w:rsidRDefault="00A334B0" w:rsidP="00A334B0">
            <w:pPr>
              <w:pStyle w:val="B1"/>
              <w:numPr>
                <w:ilvl w:val="1"/>
                <w:numId w:val="41"/>
              </w:numPr>
              <w:spacing w:after="60"/>
              <w:ind w:left="1134"/>
            </w:pPr>
            <w:r w:rsidRPr="001D00BB">
              <w:t>Different and/or additional parameter assumptions used for evaluation should be clearly stated.</w:t>
            </w:r>
          </w:p>
          <w:p w14:paraId="3540D67C" w14:textId="77777777" w:rsidR="00A334B0" w:rsidRPr="00A334B0" w:rsidRDefault="00A334B0" w:rsidP="00A334B0">
            <w:pPr>
              <w:pStyle w:val="ListParagraph"/>
              <w:numPr>
                <w:ilvl w:val="0"/>
                <w:numId w:val="41"/>
              </w:numPr>
              <w:spacing w:after="60"/>
              <w:ind w:leftChars="0"/>
              <w:rPr>
                <w:rFonts w:ascii="Times New Roman" w:hAnsi="Times New Roman"/>
                <w:szCs w:val="20"/>
              </w:rPr>
            </w:pPr>
            <w:r w:rsidRPr="00A334B0">
              <w:rPr>
                <w:rFonts w:ascii="Times New Roman" w:hAnsi="Times New Roman"/>
                <w:szCs w:val="20"/>
              </w:rPr>
              <w:t>Performance metric</w:t>
            </w:r>
          </w:p>
          <w:p w14:paraId="137118BC" w14:textId="77777777" w:rsidR="00A334B0" w:rsidRPr="001D00BB" w:rsidRDefault="00A334B0" w:rsidP="00A334B0">
            <w:pPr>
              <w:pStyle w:val="B1"/>
              <w:numPr>
                <w:ilvl w:val="1"/>
                <w:numId w:val="41"/>
              </w:numPr>
              <w:spacing w:after="60"/>
              <w:ind w:left="1134"/>
            </w:pPr>
            <w:r w:rsidRPr="001D00BB">
              <w:t>UE power saving gain - percentage of power consumption reduction of the proposed power saving scheme from the baseline scheme</w:t>
            </w:r>
          </w:p>
          <w:p w14:paraId="74CE94EC" w14:textId="77777777" w:rsidR="00A334B0" w:rsidRPr="001D00BB" w:rsidRDefault="00A334B0" w:rsidP="00A334B0">
            <w:pPr>
              <w:pStyle w:val="B2"/>
              <w:numPr>
                <w:ilvl w:val="2"/>
                <w:numId w:val="41"/>
              </w:numPr>
              <w:spacing w:after="60"/>
              <w:ind w:left="1701"/>
            </w:pPr>
            <w:r w:rsidRPr="001D00BB">
              <w:t xml:space="preserve">FFS: For the case multiple applications are evaluated, whether power consumption is the overall </w:t>
            </w:r>
            <w:proofErr w:type="spellStart"/>
            <w:r w:rsidRPr="001D00BB">
              <w:t>DoU</w:t>
            </w:r>
            <w:proofErr w:type="spellEnd"/>
            <w:r w:rsidRPr="001D00BB">
              <w:t xml:space="preserve"> power across the applications</w:t>
            </w:r>
          </w:p>
          <w:p w14:paraId="34341D84" w14:textId="77777777" w:rsidR="00A334B0" w:rsidRPr="001D00BB" w:rsidRDefault="00A334B0" w:rsidP="00A334B0">
            <w:pPr>
              <w:pStyle w:val="B1"/>
              <w:numPr>
                <w:ilvl w:val="1"/>
                <w:numId w:val="41"/>
              </w:numPr>
              <w:spacing w:after="60"/>
              <w:ind w:left="1134"/>
            </w:pPr>
            <w:r w:rsidRPr="001D00BB">
              <w:t>System performance</w:t>
            </w:r>
          </w:p>
          <w:p w14:paraId="4E5D2D7D" w14:textId="77777777" w:rsidR="00A334B0" w:rsidRPr="001D00BB" w:rsidRDefault="00A334B0" w:rsidP="00A334B0">
            <w:pPr>
              <w:pStyle w:val="B2"/>
              <w:numPr>
                <w:ilvl w:val="2"/>
                <w:numId w:val="41"/>
              </w:numPr>
              <w:spacing w:after="60"/>
              <w:ind w:left="1701"/>
            </w:pPr>
            <w:r w:rsidRPr="001D00BB">
              <w:t>Latency</w:t>
            </w:r>
          </w:p>
          <w:p w14:paraId="67A6FAC3" w14:textId="77777777" w:rsidR="00A334B0" w:rsidRPr="001D00BB" w:rsidRDefault="00A334B0" w:rsidP="00A334B0">
            <w:pPr>
              <w:pStyle w:val="B2"/>
              <w:numPr>
                <w:ilvl w:val="2"/>
                <w:numId w:val="41"/>
              </w:numPr>
              <w:spacing w:after="60"/>
              <w:ind w:left="1701"/>
            </w:pPr>
            <w:r w:rsidRPr="001D00BB">
              <w:t>Scheduling delay</w:t>
            </w:r>
          </w:p>
          <w:p w14:paraId="0BEEE954" w14:textId="77777777" w:rsidR="00A334B0" w:rsidRPr="001D00BB" w:rsidRDefault="00A334B0" w:rsidP="00A334B0">
            <w:pPr>
              <w:pStyle w:val="B2"/>
              <w:numPr>
                <w:ilvl w:val="2"/>
                <w:numId w:val="41"/>
              </w:numPr>
              <w:spacing w:after="60"/>
              <w:ind w:left="1701"/>
            </w:pPr>
            <w:r w:rsidRPr="001D00BB">
              <w:t>User throughput</w:t>
            </w:r>
          </w:p>
          <w:p w14:paraId="651E63D4" w14:textId="6FE682FC" w:rsidR="00A334B0" w:rsidRPr="00A334B0" w:rsidRDefault="00A334B0" w:rsidP="00A334B0">
            <w:pPr>
              <w:pStyle w:val="B3"/>
              <w:numPr>
                <w:ilvl w:val="3"/>
                <w:numId w:val="41"/>
              </w:numPr>
              <w:spacing w:after="60"/>
              <w:ind w:left="2127"/>
            </w:pPr>
            <w:r w:rsidRPr="001D00BB">
              <w:t>System throughput and/or resource utilization/overhead (if applicable) should be reported as the result of the evaluation, in addition to power saving gain.</w:t>
            </w:r>
          </w:p>
        </w:tc>
      </w:tr>
    </w:tbl>
    <w:p w14:paraId="3F95B711" w14:textId="537D1F02" w:rsidR="00F94228" w:rsidRDefault="00F94228" w:rsidP="00474BBD">
      <w:pPr>
        <w:spacing w:after="120"/>
        <w:rPr>
          <w:color w:val="FF0000"/>
        </w:rPr>
      </w:pPr>
    </w:p>
    <w:p w14:paraId="021B7ABA" w14:textId="66430995" w:rsidR="0074224D" w:rsidRDefault="0074224D" w:rsidP="00B94938">
      <w:pPr>
        <w:spacing w:after="60"/>
        <w:rPr>
          <w:color w:val="000000" w:themeColor="text1"/>
          <w:sz w:val="20"/>
          <w:szCs w:val="20"/>
        </w:rPr>
      </w:pPr>
      <w:r w:rsidRPr="0074224D">
        <w:rPr>
          <w:color w:val="000000" w:themeColor="text1"/>
          <w:sz w:val="20"/>
          <w:szCs w:val="20"/>
        </w:rPr>
        <w:t xml:space="preserve">Based on the above list from NR UE power saving item, it should be noted that </w:t>
      </w:r>
      <w:r w:rsidR="00B94938">
        <w:rPr>
          <w:color w:val="000000" w:themeColor="text1"/>
          <w:sz w:val="20"/>
          <w:szCs w:val="20"/>
        </w:rPr>
        <w:t>the power consumption model and metrics were defined based on NR DL and UL usage (not SL). As such, many of these settings and metrics should be adjusted or removed if not applicable for SL use. For the evaluation of different power saving schemes for NR sidelink, we recommend the followings.</w:t>
      </w:r>
    </w:p>
    <w:p w14:paraId="5603D5F1" w14:textId="5F9179A2" w:rsidR="00B94938" w:rsidRPr="00B94938" w:rsidRDefault="00B94938" w:rsidP="00B94938">
      <w:pPr>
        <w:pStyle w:val="ListParagraph"/>
        <w:numPr>
          <w:ilvl w:val="0"/>
          <w:numId w:val="42"/>
        </w:numPr>
        <w:spacing w:after="60"/>
        <w:ind w:leftChars="0"/>
        <w:rPr>
          <w:rFonts w:ascii="Arial" w:hAnsi="Arial" w:cs="Arial"/>
          <w:color w:val="000000" w:themeColor="text1"/>
        </w:rPr>
      </w:pPr>
      <w:r w:rsidRPr="00B94938">
        <w:rPr>
          <w:rFonts w:ascii="Arial" w:hAnsi="Arial" w:cs="Arial"/>
          <w:color w:val="000000" w:themeColor="text1"/>
        </w:rPr>
        <w:t>Sidelink BWP/</w:t>
      </w:r>
      <w:r>
        <w:rPr>
          <w:rFonts w:ascii="Arial" w:hAnsi="Arial" w:cs="Arial"/>
          <w:color w:val="000000" w:themeColor="text1"/>
        </w:rPr>
        <w:t xml:space="preserve">resource pool </w:t>
      </w:r>
      <w:r w:rsidRPr="00B94938">
        <w:rPr>
          <w:rFonts w:ascii="Arial" w:hAnsi="Arial" w:cs="Arial"/>
          <w:color w:val="000000" w:themeColor="text1"/>
        </w:rPr>
        <w:t>bandwidth size: 20 or 40MHz</w:t>
      </w:r>
    </w:p>
    <w:p w14:paraId="6C336F9D" w14:textId="6C82201A" w:rsidR="00B94938" w:rsidRPr="00B94938" w:rsidRDefault="00B94938" w:rsidP="00B94938">
      <w:pPr>
        <w:pStyle w:val="ListParagraph"/>
        <w:numPr>
          <w:ilvl w:val="0"/>
          <w:numId w:val="42"/>
        </w:numPr>
        <w:spacing w:after="60"/>
        <w:ind w:leftChars="0"/>
        <w:rPr>
          <w:rFonts w:ascii="Arial" w:hAnsi="Arial" w:cs="Arial"/>
          <w:color w:val="000000" w:themeColor="text1"/>
        </w:rPr>
      </w:pPr>
      <w:r w:rsidRPr="00B94938">
        <w:rPr>
          <w:rFonts w:ascii="Arial" w:hAnsi="Arial" w:cs="Arial"/>
          <w:color w:val="000000" w:themeColor="text1"/>
        </w:rPr>
        <w:t xml:space="preserve">SL resource pool </w:t>
      </w:r>
      <w:r>
        <w:rPr>
          <w:rFonts w:ascii="Arial" w:hAnsi="Arial" w:cs="Arial"/>
          <w:color w:val="000000" w:themeColor="text1"/>
        </w:rPr>
        <w:t>occupies</w:t>
      </w:r>
      <w:r w:rsidRPr="00B94938">
        <w:rPr>
          <w:rFonts w:ascii="Arial" w:hAnsi="Arial" w:cs="Arial"/>
          <w:color w:val="000000" w:themeColor="text1"/>
        </w:rPr>
        <w:t xml:space="preserve"> every slot</w:t>
      </w:r>
      <w:r>
        <w:rPr>
          <w:rFonts w:ascii="Arial" w:hAnsi="Arial" w:cs="Arial"/>
          <w:color w:val="000000" w:themeColor="text1"/>
        </w:rPr>
        <w:t xml:space="preserve"> (as in ITS spectrum)</w:t>
      </w:r>
    </w:p>
    <w:p w14:paraId="0C4DDDEA" w14:textId="77777777" w:rsidR="00B94938" w:rsidRPr="00B94938" w:rsidRDefault="00B94938" w:rsidP="00B94938">
      <w:pPr>
        <w:pStyle w:val="ListParagraph"/>
        <w:numPr>
          <w:ilvl w:val="0"/>
          <w:numId w:val="42"/>
        </w:numPr>
        <w:spacing w:after="60"/>
        <w:ind w:leftChars="0"/>
        <w:rPr>
          <w:rFonts w:ascii="Arial" w:hAnsi="Arial" w:cs="Arial"/>
          <w:color w:val="000000" w:themeColor="text1"/>
        </w:rPr>
      </w:pPr>
      <w:r w:rsidRPr="00B94938">
        <w:rPr>
          <w:rFonts w:ascii="Arial" w:hAnsi="Arial" w:cs="Arial"/>
          <w:color w:val="000000" w:themeColor="text1"/>
        </w:rPr>
        <w:t>Subcarrier spacing: 30KHz</w:t>
      </w:r>
    </w:p>
    <w:p w14:paraId="2247017F" w14:textId="571681FA" w:rsidR="00B94938" w:rsidRPr="00B94938" w:rsidRDefault="00B94938" w:rsidP="00B94938">
      <w:pPr>
        <w:pStyle w:val="ListParagraph"/>
        <w:numPr>
          <w:ilvl w:val="0"/>
          <w:numId w:val="42"/>
        </w:numPr>
        <w:spacing w:after="60"/>
        <w:ind w:leftChars="0"/>
        <w:rPr>
          <w:rFonts w:ascii="Arial" w:hAnsi="Arial" w:cs="Arial"/>
          <w:color w:val="000000" w:themeColor="text1"/>
        </w:rPr>
      </w:pPr>
      <w:r w:rsidRPr="00B94938">
        <w:rPr>
          <w:rFonts w:ascii="Arial" w:hAnsi="Arial" w:cs="Arial"/>
          <w:color w:val="000000" w:themeColor="text1"/>
        </w:rPr>
        <w:t>Tx antenna configuration: 2Tx</w:t>
      </w:r>
    </w:p>
    <w:p w14:paraId="1911346A" w14:textId="7AB029BE" w:rsidR="00B94938" w:rsidRPr="00B94938" w:rsidRDefault="00B94938" w:rsidP="00E4064E">
      <w:pPr>
        <w:pStyle w:val="ListParagraph"/>
        <w:numPr>
          <w:ilvl w:val="0"/>
          <w:numId w:val="42"/>
        </w:numPr>
        <w:spacing w:after="120"/>
        <w:ind w:leftChars="0"/>
        <w:rPr>
          <w:rFonts w:ascii="Arial" w:hAnsi="Arial" w:cs="Arial"/>
          <w:color w:val="000000" w:themeColor="text1"/>
        </w:rPr>
      </w:pPr>
      <w:r w:rsidRPr="00B94938">
        <w:rPr>
          <w:rFonts w:ascii="Arial" w:hAnsi="Arial" w:cs="Arial"/>
          <w:color w:val="000000" w:themeColor="text1"/>
        </w:rPr>
        <w:t xml:space="preserve">Power level: </w:t>
      </w:r>
      <w:r w:rsidR="00531AF7">
        <w:rPr>
          <w:rFonts w:ascii="Arial" w:hAnsi="Arial" w:cs="Arial"/>
          <w:color w:val="000000" w:themeColor="text1"/>
        </w:rPr>
        <w:t>23 or 26</w:t>
      </w:r>
      <w:r w:rsidR="003D4A24">
        <w:rPr>
          <w:rFonts w:ascii="Arial" w:hAnsi="Arial" w:cs="Arial"/>
          <w:color w:val="000000" w:themeColor="text1"/>
        </w:rPr>
        <w:t xml:space="preserve"> </w:t>
      </w:r>
      <w:r w:rsidRPr="00B94938">
        <w:rPr>
          <w:rFonts w:ascii="Arial" w:hAnsi="Arial" w:cs="Arial"/>
          <w:color w:val="000000" w:themeColor="text1"/>
        </w:rPr>
        <w:t>dBm</w:t>
      </w:r>
    </w:p>
    <w:p w14:paraId="2CC2EE8F" w14:textId="760640AC" w:rsidR="00B94938" w:rsidRDefault="00B94938" w:rsidP="00E4064E">
      <w:pPr>
        <w:spacing w:after="60"/>
        <w:rPr>
          <w:color w:val="000000" w:themeColor="text1"/>
          <w:sz w:val="20"/>
          <w:szCs w:val="18"/>
        </w:rPr>
      </w:pPr>
      <w:r w:rsidRPr="00B94938">
        <w:rPr>
          <w:color w:val="000000" w:themeColor="text1"/>
          <w:sz w:val="20"/>
          <w:szCs w:val="18"/>
        </w:rPr>
        <w:t xml:space="preserve">Furthermore, </w:t>
      </w:r>
      <w:r>
        <w:rPr>
          <w:color w:val="000000" w:themeColor="text1"/>
          <w:sz w:val="20"/>
          <w:szCs w:val="18"/>
        </w:rPr>
        <w:t>the performance metric should include</w:t>
      </w:r>
      <w:r w:rsidR="00E4064E">
        <w:rPr>
          <w:color w:val="000000" w:themeColor="text1"/>
          <w:sz w:val="20"/>
          <w:szCs w:val="18"/>
        </w:rPr>
        <w:t>:</w:t>
      </w:r>
    </w:p>
    <w:p w14:paraId="34D394C3" w14:textId="53ACE920" w:rsidR="00B94938" w:rsidRDefault="00B94938" w:rsidP="00E4064E">
      <w:pPr>
        <w:pStyle w:val="ListParagraph"/>
        <w:numPr>
          <w:ilvl w:val="0"/>
          <w:numId w:val="42"/>
        </w:numPr>
        <w:spacing w:after="60"/>
        <w:ind w:leftChars="0"/>
        <w:rPr>
          <w:rFonts w:ascii="Arial" w:hAnsi="Arial" w:cs="Arial"/>
          <w:color w:val="000000" w:themeColor="text1"/>
          <w:szCs w:val="18"/>
        </w:rPr>
      </w:pPr>
      <w:r w:rsidRPr="00E4064E">
        <w:rPr>
          <w:rFonts w:ascii="Arial" w:hAnsi="Arial" w:cs="Arial"/>
          <w:color w:val="000000" w:themeColor="text1"/>
          <w:szCs w:val="18"/>
        </w:rPr>
        <w:t>Power saving gain</w:t>
      </w:r>
      <w:r w:rsidR="00E4064E" w:rsidRPr="00E4064E">
        <w:rPr>
          <w:rFonts w:ascii="Arial" w:hAnsi="Arial" w:cs="Arial"/>
          <w:color w:val="000000" w:themeColor="text1"/>
          <w:szCs w:val="18"/>
        </w:rPr>
        <w:t xml:space="preserve"> – </w:t>
      </w:r>
      <w:r w:rsidRPr="00E4064E">
        <w:rPr>
          <w:rFonts w:ascii="Arial" w:hAnsi="Arial" w:cs="Arial"/>
          <w:color w:val="000000" w:themeColor="text1"/>
          <w:szCs w:val="18"/>
        </w:rPr>
        <w:t xml:space="preserve">a percentage of power consumption reduction of a proposed power saving scheme from </w:t>
      </w:r>
      <w:r w:rsidR="00E4064E" w:rsidRPr="00E4064E">
        <w:rPr>
          <w:rFonts w:ascii="Arial" w:hAnsi="Arial" w:cs="Arial"/>
          <w:color w:val="000000" w:themeColor="text1"/>
          <w:szCs w:val="18"/>
        </w:rPr>
        <w:t>a</w:t>
      </w:r>
      <w:r w:rsidRPr="00E4064E">
        <w:rPr>
          <w:rFonts w:ascii="Arial" w:hAnsi="Arial" w:cs="Arial"/>
          <w:color w:val="000000" w:themeColor="text1"/>
          <w:szCs w:val="18"/>
        </w:rPr>
        <w:t xml:space="preserve"> baseline scheme, where the baseline scheme is the R16 SL mode 2 resource selection procedure.</w:t>
      </w:r>
    </w:p>
    <w:p w14:paraId="2B7861FE" w14:textId="68EBFF0B" w:rsidR="00E4064E" w:rsidRDefault="00E4064E" w:rsidP="00E4064E">
      <w:pPr>
        <w:pStyle w:val="ListParagraph"/>
        <w:numPr>
          <w:ilvl w:val="0"/>
          <w:numId w:val="42"/>
        </w:numPr>
        <w:spacing w:after="60"/>
        <w:ind w:leftChars="0"/>
        <w:rPr>
          <w:rFonts w:ascii="Arial" w:hAnsi="Arial" w:cs="Arial"/>
          <w:color w:val="000000" w:themeColor="text1"/>
          <w:szCs w:val="18"/>
        </w:rPr>
      </w:pPr>
      <w:r>
        <w:rPr>
          <w:rFonts w:ascii="Arial" w:hAnsi="Arial" w:cs="Arial"/>
          <w:color w:val="000000" w:themeColor="text1"/>
          <w:szCs w:val="18"/>
        </w:rPr>
        <w:t>PRR as defined in R16 NR-V2X</w:t>
      </w:r>
    </w:p>
    <w:p w14:paraId="40A42CE0" w14:textId="34DC244C" w:rsidR="00E4064E" w:rsidRPr="00E4064E" w:rsidRDefault="00E4064E" w:rsidP="00E4064E">
      <w:pPr>
        <w:spacing w:after="120"/>
        <w:rPr>
          <w:color w:val="000000" w:themeColor="text1"/>
          <w:sz w:val="20"/>
          <w:szCs w:val="16"/>
        </w:rPr>
      </w:pPr>
      <w:r w:rsidRPr="00E4064E">
        <w:rPr>
          <w:color w:val="000000" w:themeColor="text1"/>
          <w:sz w:val="20"/>
          <w:szCs w:val="16"/>
        </w:rPr>
        <w:t xml:space="preserve">And the evaluation should simply add up and average all the power used </w:t>
      </w:r>
      <w:r>
        <w:rPr>
          <w:color w:val="000000" w:themeColor="text1"/>
          <w:sz w:val="20"/>
          <w:szCs w:val="16"/>
        </w:rPr>
        <w:t>across all</w:t>
      </w:r>
      <w:r w:rsidRPr="00E4064E">
        <w:rPr>
          <w:color w:val="000000" w:themeColor="text1"/>
          <w:sz w:val="20"/>
          <w:szCs w:val="16"/>
        </w:rPr>
        <w:t xml:space="preserve"> </w:t>
      </w:r>
      <w:r>
        <w:rPr>
          <w:color w:val="000000" w:themeColor="text1"/>
          <w:sz w:val="20"/>
          <w:szCs w:val="16"/>
        </w:rPr>
        <w:t>P</w:t>
      </w:r>
      <w:r w:rsidRPr="00E4064E">
        <w:rPr>
          <w:color w:val="000000" w:themeColor="text1"/>
          <w:sz w:val="20"/>
          <w:szCs w:val="16"/>
        </w:rPr>
        <w:t>UE</w:t>
      </w:r>
      <w:r>
        <w:rPr>
          <w:color w:val="000000" w:themeColor="text1"/>
          <w:sz w:val="20"/>
          <w:szCs w:val="16"/>
        </w:rPr>
        <w:t>s or per PUE, and</w:t>
      </w:r>
      <w:r w:rsidRPr="00E4064E">
        <w:rPr>
          <w:color w:val="000000" w:themeColor="text1"/>
          <w:sz w:val="20"/>
          <w:szCs w:val="16"/>
        </w:rPr>
        <w:t xml:space="preserve"> over the simulation duration.</w:t>
      </w:r>
    </w:p>
    <w:p w14:paraId="527F817F" w14:textId="175F0D0C" w:rsidR="007B089D" w:rsidRPr="00A334B0" w:rsidRDefault="00A334B0" w:rsidP="00A334B0">
      <w:pPr>
        <w:spacing w:after="120"/>
        <w:rPr>
          <w:bCs/>
          <w:iCs/>
          <w:sz w:val="20"/>
          <w:szCs w:val="20"/>
        </w:rPr>
      </w:pPr>
      <w:r w:rsidRPr="00A334B0">
        <w:rPr>
          <w:bCs/>
          <w:iCs/>
          <w:sz w:val="20"/>
          <w:szCs w:val="20"/>
        </w:rPr>
        <w:t>Considering the above discussions, we make the following proposals.</w:t>
      </w:r>
    </w:p>
    <w:p w14:paraId="4513198C" w14:textId="4B48E356" w:rsidR="00474BBD" w:rsidRDefault="00565E67" w:rsidP="00A0094C">
      <w:pPr>
        <w:spacing w:after="240"/>
        <w:rPr>
          <w:b/>
          <w:i/>
          <w:szCs w:val="20"/>
        </w:rPr>
      </w:pPr>
      <w:r w:rsidRPr="00474BBD">
        <w:rPr>
          <w:b/>
          <w:i/>
          <w:sz w:val="20"/>
          <w:szCs w:val="20"/>
        </w:rPr>
        <w:t>Proposal</w:t>
      </w:r>
      <w:r w:rsidR="008D26BA" w:rsidRPr="00474BBD">
        <w:rPr>
          <w:b/>
          <w:i/>
          <w:sz w:val="20"/>
          <w:szCs w:val="20"/>
        </w:rPr>
        <w:t xml:space="preserve"> 1</w:t>
      </w:r>
      <w:r w:rsidRPr="00474BBD">
        <w:rPr>
          <w:b/>
          <w:i/>
          <w:sz w:val="20"/>
          <w:szCs w:val="20"/>
        </w:rPr>
        <w:t xml:space="preserve">: </w:t>
      </w:r>
      <w:r w:rsidR="007B089D" w:rsidRPr="00474BBD">
        <w:rPr>
          <w:b/>
          <w:i/>
          <w:sz w:val="20"/>
          <w:szCs w:val="20"/>
        </w:rPr>
        <w:t>The power consumption model LTE sidelink described in TR 36.843 can be mostly reused for NR sidelink</w:t>
      </w:r>
      <w:r w:rsidR="00E4064E">
        <w:rPr>
          <w:b/>
          <w:i/>
          <w:sz w:val="20"/>
          <w:szCs w:val="20"/>
        </w:rPr>
        <w:t>, except that t</w:t>
      </w:r>
      <w:r w:rsidR="00474BBD" w:rsidRPr="00474BBD">
        <w:rPr>
          <w:b/>
          <w:i/>
          <w:sz w:val="20"/>
          <w:szCs w:val="20"/>
        </w:rPr>
        <w:t xml:space="preserve">he number of units per slot for NR sidelink Tx/Rx/sleep power </w:t>
      </w:r>
      <w:r w:rsidR="00474BBD">
        <w:rPr>
          <w:b/>
          <w:i/>
          <w:szCs w:val="20"/>
        </w:rPr>
        <w:t xml:space="preserve">with 30kHz SCS </w:t>
      </w:r>
      <w:r w:rsidR="00474BBD" w:rsidRPr="00474BBD">
        <w:rPr>
          <w:b/>
          <w:i/>
          <w:sz w:val="20"/>
          <w:szCs w:val="20"/>
        </w:rPr>
        <w:t>should be</w:t>
      </w:r>
      <w:r w:rsidR="00474BBD">
        <w:rPr>
          <w:b/>
          <w:i/>
          <w:szCs w:val="20"/>
        </w:rPr>
        <w:t xml:space="preserve"> half of that for LTE sidelink.</w:t>
      </w:r>
    </w:p>
    <w:p w14:paraId="46462A57" w14:textId="36E45680" w:rsidR="00E4064E" w:rsidRPr="00A0094C" w:rsidRDefault="00E4064E" w:rsidP="00A0094C">
      <w:pPr>
        <w:spacing w:after="60"/>
        <w:rPr>
          <w:b/>
          <w:i/>
          <w:sz w:val="20"/>
          <w:szCs w:val="20"/>
        </w:rPr>
      </w:pPr>
      <w:r w:rsidRPr="00A0094C">
        <w:rPr>
          <w:b/>
          <w:i/>
          <w:sz w:val="20"/>
          <w:szCs w:val="20"/>
        </w:rPr>
        <w:lastRenderedPageBreak/>
        <w:t>Proposal 2: For the power saving evaluation/simulation, we propose the following settings:</w:t>
      </w:r>
    </w:p>
    <w:p w14:paraId="49863BEB" w14:textId="77777777" w:rsidR="00E4064E" w:rsidRPr="00A0094C" w:rsidRDefault="00E4064E" w:rsidP="00E4064E">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Sidelink BWP/resource pool bandwidth size: 20 or 40MHz</w:t>
      </w:r>
    </w:p>
    <w:p w14:paraId="3DB57F89" w14:textId="77777777" w:rsidR="00E4064E" w:rsidRPr="00A0094C" w:rsidRDefault="00E4064E" w:rsidP="00E4064E">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SL resource pool occupies every slot (as in ITS spectrum)</w:t>
      </w:r>
    </w:p>
    <w:p w14:paraId="76EA8A73" w14:textId="77777777" w:rsidR="00E4064E" w:rsidRPr="00A0094C" w:rsidRDefault="00E4064E" w:rsidP="00E4064E">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Subcarrier spacing: 30KHz</w:t>
      </w:r>
    </w:p>
    <w:p w14:paraId="1ECE5C42" w14:textId="77777777" w:rsidR="00E4064E" w:rsidRPr="00A0094C" w:rsidRDefault="00E4064E" w:rsidP="00E4064E">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Tx antenna configuration: 2Tx</w:t>
      </w:r>
    </w:p>
    <w:p w14:paraId="6DB61AD4" w14:textId="6CE4E347" w:rsidR="00E4064E" w:rsidRPr="00A0094C" w:rsidRDefault="00E4064E" w:rsidP="00A0094C">
      <w:pPr>
        <w:pStyle w:val="ListParagraph"/>
        <w:numPr>
          <w:ilvl w:val="0"/>
          <w:numId w:val="44"/>
        </w:numPr>
        <w:spacing w:after="240"/>
        <w:ind w:leftChars="0"/>
        <w:rPr>
          <w:rFonts w:ascii="Arial" w:hAnsi="Arial" w:cs="Arial"/>
          <w:b/>
          <w:i/>
          <w:color w:val="000000" w:themeColor="text1"/>
        </w:rPr>
      </w:pPr>
      <w:r w:rsidRPr="00A0094C">
        <w:rPr>
          <w:rFonts w:ascii="Arial" w:hAnsi="Arial" w:cs="Arial"/>
          <w:b/>
          <w:i/>
          <w:color w:val="000000" w:themeColor="text1"/>
        </w:rPr>
        <w:t xml:space="preserve">Power level: 23 </w:t>
      </w:r>
      <w:r w:rsidR="00531AF7">
        <w:rPr>
          <w:rFonts w:ascii="Arial" w:hAnsi="Arial" w:cs="Arial"/>
          <w:b/>
          <w:i/>
          <w:color w:val="000000" w:themeColor="text1"/>
        </w:rPr>
        <w:t>or</w:t>
      </w:r>
      <w:r w:rsidRPr="00A0094C">
        <w:rPr>
          <w:rFonts w:ascii="Arial" w:hAnsi="Arial" w:cs="Arial"/>
          <w:b/>
          <w:i/>
          <w:color w:val="000000" w:themeColor="text1"/>
        </w:rPr>
        <w:t xml:space="preserve"> </w:t>
      </w:r>
      <w:r w:rsidR="003D4A24">
        <w:rPr>
          <w:rFonts w:ascii="Arial" w:hAnsi="Arial" w:cs="Arial"/>
          <w:b/>
          <w:i/>
          <w:color w:val="000000" w:themeColor="text1"/>
        </w:rPr>
        <w:t xml:space="preserve">26 </w:t>
      </w:r>
      <w:r w:rsidRPr="00A0094C">
        <w:rPr>
          <w:rFonts w:ascii="Arial" w:hAnsi="Arial" w:cs="Arial"/>
          <w:b/>
          <w:i/>
          <w:color w:val="000000" w:themeColor="text1"/>
        </w:rPr>
        <w:t>dBm</w:t>
      </w:r>
    </w:p>
    <w:p w14:paraId="70D73DF2" w14:textId="2BC6EACE" w:rsidR="00E4064E" w:rsidRPr="00A0094C" w:rsidRDefault="00E4064E" w:rsidP="00A0094C">
      <w:pPr>
        <w:spacing w:after="60"/>
        <w:rPr>
          <w:b/>
          <w:i/>
          <w:sz w:val="20"/>
          <w:szCs w:val="20"/>
        </w:rPr>
      </w:pPr>
      <w:r w:rsidRPr="00A0094C">
        <w:rPr>
          <w:b/>
          <w:i/>
          <w:sz w:val="20"/>
          <w:szCs w:val="20"/>
        </w:rPr>
        <w:t>Proposal 3: The performance metric should include:</w:t>
      </w:r>
    </w:p>
    <w:p w14:paraId="5D5BD1D3" w14:textId="77777777" w:rsidR="00E4064E" w:rsidRPr="00A0094C" w:rsidRDefault="00E4064E" w:rsidP="00E4064E">
      <w:pPr>
        <w:pStyle w:val="ListParagraph"/>
        <w:numPr>
          <w:ilvl w:val="0"/>
          <w:numId w:val="42"/>
        </w:numPr>
        <w:spacing w:after="60"/>
        <w:ind w:leftChars="0"/>
        <w:rPr>
          <w:rFonts w:ascii="Arial" w:hAnsi="Arial" w:cs="Arial"/>
          <w:b/>
          <w:i/>
          <w:color w:val="000000" w:themeColor="text1"/>
          <w:szCs w:val="20"/>
        </w:rPr>
      </w:pPr>
      <w:r w:rsidRPr="00A0094C">
        <w:rPr>
          <w:rFonts w:ascii="Arial" w:hAnsi="Arial" w:cs="Arial"/>
          <w:b/>
          <w:i/>
          <w:color w:val="000000" w:themeColor="text1"/>
          <w:szCs w:val="20"/>
        </w:rPr>
        <w:t>Power saving gain – a percentage of power consumption reduction of a proposed power saving scheme from a baseline scheme, where the baseline scheme is the R16 SL mode 2 resource selection procedure.</w:t>
      </w:r>
    </w:p>
    <w:p w14:paraId="268D7C92" w14:textId="77777777" w:rsidR="00E4064E" w:rsidRPr="00A0094C" w:rsidRDefault="00E4064E" w:rsidP="00A0094C">
      <w:pPr>
        <w:pStyle w:val="ListParagraph"/>
        <w:numPr>
          <w:ilvl w:val="0"/>
          <w:numId w:val="42"/>
        </w:numPr>
        <w:spacing w:after="240"/>
        <w:ind w:leftChars="0"/>
        <w:rPr>
          <w:rFonts w:ascii="Arial" w:hAnsi="Arial" w:cs="Arial"/>
          <w:b/>
          <w:i/>
          <w:color w:val="000000" w:themeColor="text1"/>
          <w:szCs w:val="20"/>
        </w:rPr>
      </w:pPr>
      <w:r w:rsidRPr="00A0094C">
        <w:rPr>
          <w:rFonts w:ascii="Arial" w:hAnsi="Arial" w:cs="Arial"/>
          <w:b/>
          <w:i/>
          <w:color w:val="000000" w:themeColor="text1"/>
          <w:szCs w:val="20"/>
        </w:rPr>
        <w:t>PRR as defined in R16 NR-V2X</w:t>
      </w:r>
    </w:p>
    <w:p w14:paraId="092AA64C" w14:textId="707C6757" w:rsidR="00E4064E" w:rsidRPr="00E4064E" w:rsidRDefault="00E4064E" w:rsidP="00A0094C">
      <w:pPr>
        <w:spacing w:after="360"/>
        <w:rPr>
          <w:b/>
          <w:i/>
          <w:szCs w:val="20"/>
        </w:rPr>
      </w:pPr>
      <w:r>
        <w:rPr>
          <w:b/>
          <w:i/>
          <w:szCs w:val="20"/>
        </w:rPr>
        <w:t xml:space="preserve">Proposal 4: </w:t>
      </w:r>
      <w:r w:rsidR="00A0094C">
        <w:rPr>
          <w:b/>
          <w:i/>
          <w:szCs w:val="20"/>
        </w:rPr>
        <w:t>T</w:t>
      </w:r>
      <w:r w:rsidRPr="00E4064E">
        <w:rPr>
          <w:b/>
          <w:i/>
          <w:szCs w:val="20"/>
        </w:rPr>
        <w:t xml:space="preserve">he </w:t>
      </w:r>
      <w:r w:rsidR="00A0094C">
        <w:rPr>
          <w:b/>
          <w:i/>
          <w:szCs w:val="20"/>
        </w:rPr>
        <w:t xml:space="preserve">performance </w:t>
      </w:r>
      <w:r w:rsidRPr="00E4064E">
        <w:rPr>
          <w:b/>
          <w:i/>
          <w:szCs w:val="20"/>
        </w:rPr>
        <w:t>evaluation should simply add up and average all the power used across all PUEs or per PUE, and over the simulation duration.</w:t>
      </w:r>
    </w:p>
    <w:p w14:paraId="3A91C9E1" w14:textId="77777777" w:rsidR="00BC0557" w:rsidRPr="0031043E" w:rsidRDefault="00BC0557" w:rsidP="00BC0557">
      <w:pPr>
        <w:spacing w:after="120"/>
        <w:rPr>
          <w:b/>
          <w:sz w:val="22"/>
          <w:szCs w:val="22"/>
        </w:rPr>
      </w:pPr>
      <w:r w:rsidRPr="0031043E">
        <w:rPr>
          <w:b/>
          <w:sz w:val="22"/>
          <w:szCs w:val="22"/>
        </w:rPr>
        <w:t>3. Conclusion</w:t>
      </w:r>
    </w:p>
    <w:p w14:paraId="05FA8798" w14:textId="21D1634E" w:rsidR="00BC0557" w:rsidRPr="008D26BA" w:rsidRDefault="00BC0557" w:rsidP="00BC0557">
      <w:pPr>
        <w:rPr>
          <w:iCs/>
          <w:color w:val="000000" w:themeColor="text1"/>
        </w:rPr>
      </w:pPr>
      <w:r w:rsidRPr="008D26BA">
        <w:rPr>
          <w:color w:val="000000" w:themeColor="text1"/>
        </w:rPr>
        <w:t xml:space="preserve">In this contribution, </w:t>
      </w:r>
      <w:r w:rsidR="004E0EB3" w:rsidRPr="008D26BA">
        <w:rPr>
          <w:color w:val="000000" w:themeColor="text1"/>
        </w:rPr>
        <w:t xml:space="preserve">we discussed </w:t>
      </w:r>
      <w:r w:rsidR="00A50AEC" w:rsidRPr="008D26BA">
        <w:rPr>
          <w:color w:val="000000" w:themeColor="text1"/>
        </w:rPr>
        <w:t>and provided our views</w:t>
      </w:r>
      <w:r w:rsidR="00E24F47" w:rsidRPr="008D26BA">
        <w:rPr>
          <w:color w:val="000000" w:themeColor="text1"/>
        </w:rPr>
        <w:t xml:space="preserve"> and proposals</w:t>
      </w:r>
      <w:r w:rsidR="00A50AEC" w:rsidRPr="008D26BA">
        <w:rPr>
          <w:color w:val="000000" w:themeColor="text1"/>
        </w:rPr>
        <w:t xml:space="preserve"> on </w:t>
      </w:r>
      <w:r w:rsidR="008D26BA" w:rsidRPr="008D26BA">
        <w:rPr>
          <w:color w:val="000000" w:themeColor="text1"/>
        </w:rPr>
        <w:t>updating the evaluation methodology to include power saving aspect of NR sidelink operation.</w:t>
      </w:r>
      <w:r w:rsidR="00B63B9C" w:rsidRPr="008D26BA">
        <w:rPr>
          <w:color w:val="000000" w:themeColor="text1"/>
        </w:rPr>
        <w:t xml:space="preserve"> </w:t>
      </w:r>
      <w:r w:rsidRPr="008D26BA">
        <w:rPr>
          <w:iCs/>
          <w:color w:val="000000" w:themeColor="text1"/>
        </w:rPr>
        <w:t xml:space="preserve">In summary, we have the following </w:t>
      </w:r>
      <w:r w:rsidR="00FB6D7B" w:rsidRPr="008D26BA">
        <w:rPr>
          <w:iCs/>
          <w:color w:val="000000" w:themeColor="text1"/>
        </w:rPr>
        <w:t>proposal</w:t>
      </w:r>
      <w:r w:rsidR="00E24F47" w:rsidRPr="008D26BA">
        <w:rPr>
          <w:iCs/>
          <w:color w:val="000000" w:themeColor="text1"/>
        </w:rPr>
        <w:t>s</w:t>
      </w:r>
      <w:r w:rsidR="00630849" w:rsidRPr="008D26BA">
        <w:rPr>
          <w:iCs/>
          <w:color w:val="000000" w:themeColor="text1"/>
        </w:rPr>
        <w:t>.</w:t>
      </w:r>
    </w:p>
    <w:p w14:paraId="08448B2B" w14:textId="489B9D94" w:rsidR="00847A69" w:rsidRPr="0031043E" w:rsidRDefault="00847A69" w:rsidP="00BC0557">
      <w:pPr>
        <w:rPr>
          <w:iCs/>
          <w:color w:val="FF0000"/>
        </w:rPr>
      </w:pPr>
    </w:p>
    <w:p w14:paraId="32CB9D94" w14:textId="77777777" w:rsidR="00A0094C" w:rsidRDefault="00A0094C" w:rsidP="00A0094C">
      <w:pPr>
        <w:spacing w:after="240"/>
        <w:rPr>
          <w:b/>
          <w:i/>
          <w:szCs w:val="20"/>
        </w:rPr>
      </w:pPr>
      <w:r w:rsidRPr="00474BBD">
        <w:rPr>
          <w:b/>
          <w:i/>
          <w:sz w:val="20"/>
          <w:szCs w:val="20"/>
        </w:rPr>
        <w:t>Proposal 1: The power consumption model LTE sidelink described in TR 36.843 can be mostly reused for NR sidelink</w:t>
      </w:r>
      <w:r>
        <w:rPr>
          <w:b/>
          <w:i/>
          <w:sz w:val="20"/>
          <w:szCs w:val="20"/>
        </w:rPr>
        <w:t>, except that t</w:t>
      </w:r>
      <w:r w:rsidRPr="00474BBD">
        <w:rPr>
          <w:b/>
          <w:i/>
          <w:sz w:val="20"/>
          <w:szCs w:val="20"/>
        </w:rPr>
        <w:t xml:space="preserve">he number of units per slot for NR sidelink Tx/Rx/sleep power </w:t>
      </w:r>
      <w:r>
        <w:rPr>
          <w:b/>
          <w:i/>
          <w:szCs w:val="20"/>
        </w:rPr>
        <w:t xml:space="preserve">with 30kHz SCS </w:t>
      </w:r>
      <w:r w:rsidRPr="00474BBD">
        <w:rPr>
          <w:b/>
          <w:i/>
          <w:sz w:val="20"/>
          <w:szCs w:val="20"/>
        </w:rPr>
        <w:t>should be</w:t>
      </w:r>
      <w:r>
        <w:rPr>
          <w:b/>
          <w:i/>
          <w:szCs w:val="20"/>
        </w:rPr>
        <w:t xml:space="preserve"> half of that for LTE sidelink.</w:t>
      </w:r>
    </w:p>
    <w:p w14:paraId="48690C1C" w14:textId="77777777" w:rsidR="00A0094C" w:rsidRPr="00A0094C" w:rsidRDefault="00A0094C" w:rsidP="00A0094C">
      <w:pPr>
        <w:spacing w:after="60"/>
        <w:rPr>
          <w:b/>
          <w:i/>
          <w:sz w:val="20"/>
          <w:szCs w:val="20"/>
        </w:rPr>
      </w:pPr>
      <w:r w:rsidRPr="00A0094C">
        <w:rPr>
          <w:b/>
          <w:i/>
          <w:sz w:val="20"/>
          <w:szCs w:val="20"/>
        </w:rPr>
        <w:t>Proposal 2: For the power saving evaluation/simulation, we propose the following settings:</w:t>
      </w:r>
    </w:p>
    <w:p w14:paraId="010263BF" w14:textId="77777777" w:rsidR="00A0094C" w:rsidRPr="00A0094C" w:rsidRDefault="00A0094C" w:rsidP="00A0094C">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Sidelink BWP/resource pool bandwidth size: 20 or 40MHz</w:t>
      </w:r>
    </w:p>
    <w:p w14:paraId="53B93422" w14:textId="77777777" w:rsidR="00A0094C" w:rsidRPr="00A0094C" w:rsidRDefault="00A0094C" w:rsidP="00A0094C">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SL resource pool occupies every slot (as in ITS spectrum)</w:t>
      </w:r>
    </w:p>
    <w:p w14:paraId="0311DA77" w14:textId="77777777" w:rsidR="00A0094C" w:rsidRPr="00A0094C" w:rsidRDefault="00A0094C" w:rsidP="00A0094C">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Subcarrier spacing: 30KHz</w:t>
      </w:r>
    </w:p>
    <w:p w14:paraId="5EF6CB90" w14:textId="77777777" w:rsidR="00A0094C" w:rsidRPr="00A0094C" w:rsidRDefault="00A0094C" w:rsidP="00A0094C">
      <w:pPr>
        <w:pStyle w:val="ListParagraph"/>
        <w:numPr>
          <w:ilvl w:val="0"/>
          <w:numId w:val="44"/>
        </w:numPr>
        <w:spacing w:after="60"/>
        <w:ind w:leftChars="0"/>
        <w:rPr>
          <w:rFonts w:ascii="Arial" w:hAnsi="Arial" w:cs="Arial"/>
          <w:b/>
          <w:i/>
          <w:color w:val="000000" w:themeColor="text1"/>
        </w:rPr>
      </w:pPr>
      <w:r w:rsidRPr="00A0094C">
        <w:rPr>
          <w:rFonts w:ascii="Arial" w:hAnsi="Arial" w:cs="Arial"/>
          <w:b/>
          <w:i/>
          <w:color w:val="000000" w:themeColor="text1"/>
        </w:rPr>
        <w:t>Tx antenna configuration: 2Tx</w:t>
      </w:r>
    </w:p>
    <w:p w14:paraId="3CEC4655" w14:textId="57CD0CC4" w:rsidR="00A0094C" w:rsidRPr="00A0094C" w:rsidRDefault="00A0094C" w:rsidP="00A0094C">
      <w:pPr>
        <w:pStyle w:val="ListParagraph"/>
        <w:numPr>
          <w:ilvl w:val="0"/>
          <w:numId w:val="44"/>
        </w:numPr>
        <w:spacing w:after="240"/>
        <w:ind w:leftChars="0"/>
        <w:rPr>
          <w:rFonts w:ascii="Arial" w:hAnsi="Arial" w:cs="Arial"/>
          <w:b/>
          <w:i/>
          <w:color w:val="000000" w:themeColor="text1"/>
        </w:rPr>
      </w:pPr>
      <w:r w:rsidRPr="00A0094C">
        <w:rPr>
          <w:rFonts w:ascii="Arial" w:hAnsi="Arial" w:cs="Arial"/>
          <w:b/>
          <w:i/>
          <w:color w:val="000000" w:themeColor="text1"/>
        </w:rPr>
        <w:t xml:space="preserve">Power level: 23 </w:t>
      </w:r>
      <w:r w:rsidR="00531AF7">
        <w:rPr>
          <w:rFonts w:ascii="Arial" w:hAnsi="Arial" w:cs="Arial"/>
          <w:b/>
          <w:i/>
          <w:color w:val="000000" w:themeColor="text1"/>
        </w:rPr>
        <w:t>or</w:t>
      </w:r>
      <w:r w:rsidRPr="00A0094C">
        <w:rPr>
          <w:rFonts w:ascii="Arial" w:hAnsi="Arial" w:cs="Arial"/>
          <w:b/>
          <w:i/>
          <w:color w:val="000000" w:themeColor="text1"/>
        </w:rPr>
        <w:t xml:space="preserve"> </w:t>
      </w:r>
      <w:r w:rsidR="003D4A24">
        <w:rPr>
          <w:rFonts w:ascii="Arial" w:hAnsi="Arial" w:cs="Arial"/>
          <w:b/>
          <w:i/>
          <w:color w:val="000000" w:themeColor="text1"/>
        </w:rPr>
        <w:t xml:space="preserve">26 </w:t>
      </w:r>
      <w:r w:rsidRPr="00A0094C">
        <w:rPr>
          <w:rFonts w:ascii="Arial" w:hAnsi="Arial" w:cs="Arial"/>
          <w:b/>
          <w:i/>
          <w:color w:val="000000" w:themeColor="text1"/>
        </w:rPr>
        <w:t>dBm</w:t>
      </w:r>
    </w:p>
    <w:p w14:paraId="4F52EE64" w14:textId="77777777" w:rsidR="00A0094C" w:rsidRPr="00A0094C" w:rsidRDefault="00A0094C" w:rsidP="00A0094C">
      <w:pPr>
        <w:spacing w:after="60"/>
        <w:rPr>
          <w:b/>
          <w:i/>
          <w:sz w:val="20"/>
          <w:szCs w:val="20"/>
        </w:rPr>
      </w:pPr>
      <w:r w:rsidRPr="00A0094C">
        <w:rPr>
          <w:b/>
          <w:i/>
          <w:sz w:val="20"/>
          <w:szCs w:val="20"/>
        </w:rPr>
        <w:t>Proposal 3: The performance metric should include:</w:t>
      </w:r>
    </w:p>
    <w:p w14:paraId="3B903F0E" w14:textId="77777777" w:rsidR="00A0094C" w:rsidRPr="00A0094C" w:rsidRDefault="00A0094C" w:rsidP="00A0094C">
      <w:pPr>
        <w:pStyle w:val="ListParagraph"/>
        <w:numPr>
          <w:ilvl w:val="0"/>
          <w:numId w:val="42"/>
        </w:numPr>
        <w:spacing w:after="60"/>
        <w:ind w:leftChars="0"/>
        <w:rPr>
          <w:rFonts w:ascii="Arial" w:hAnsi="Arial" w:cs="Arial"/>
          <w:b/>
          <w:i/>
          <w:color w:val="000000" w:themeColor="text1"/>
          <w:szCs w:val="20"/>
        </w:rPr>
      </w:pPr>
      <w:r w:rsidRPr="00A0094C">
        <w:rPr>
          <w:rFonts w:ascii="Arial" w:hAnsi="Arial" w:cs="Arial"/>
          <w:b/>
          <w:i/>
          <w:color w:val="000000" w:themeColor="text1"/>
          <w:szCs w:val="20"/>
        </w:rPr>
        <w:t>Power saving gain – a percentage of power consumption reduction of a proposed power saving scheme from a baseline scheme, where the baseline scheme is the R16 SL mode 2 resource selection procedure.</w:t>
      </w:r>
    </w:p>
    <w:p w14:paraId="27CFD5ED" w14:textId="77777777" w:rsidR="00A0094C" w:rsidRPr="00A0094C" w:rsidRDefault="00A0094C" w:rsidP="00A0094C">
      <w:pPr>
        <w:pStyle w:val="ListParagraph"/>
        <w:numPr>
          <w:ilvl w:val="0"/>
          <w:numId w:val="42"/>
        </w:numPr>
        <w:spacing w:after="240"/>
        <w:ind w:leftChars="0"/>
        <w:rPr>
          <w:rFonts w:ascii="Arial" w:hAnsi="Arial" w:cs="Arial"/>
          <w:b/>
          <w:i/>
          <w:color w:val="000000" w:themeColor="text1"/>
          <w:szCs w:val="20"/>
        </w:rPr>
      </w:pPr>
      <w:r w:rsidRPr="00A0094C">
        <w:rPr>
          <w:rFonts w:ascii="Arial" w:hAnsi="Arial" w:cs="Arial"/>
          <w:b/>
          <w:i/>
          <w:color w:val="000000" w:themeColor="text1"/>
          <w:szCs w:val="20"/>
        </w:rPr>
        <w:t>PRR as defined in R16 NR-V2X</w:t>
      </w:r>
    </w:p>
    <w:p w14:paraId="6B4EB6C4" w14:textId="77777777" w:rsidR="00A0094C" w:rsidRPr="00E4064E" w:rsidRDefault="00A0094C" w:rsidP="00A0094C">
      <w:pPr>
        <w:spacing w:after="360"/>
        <w:rPr>
          <w:b/>
          <w:i/>
          <w:szCs w:val="20"/>
        </w:rPr>
      </w:pPr>
      <w:r>
        <w:rPr>
          <w:b/>
          <w:i/>
          <w:szCs w:val="20"/>
        </w:rPr>
        <w:t>Proposal 4: T</w:t>
      </w:r>
      <w:r w:rsidRPr="00E4064E">
        <w:rPr>
          <w:b/>
          <w:i/>
          <w:szCs w:val="20"/>
        </w:rPr>
        <w:t xml:space="preserve">he </w:t>
      </w:r>
      <w:r>
        <w:rPr>
          <w:b/>
          <w:i/>
          <w:szCs w:val="20"/>
        </w:rPr>
        <w:t xml:space="preserve">performance </w:t>
      </w:r>
      <w:r w:rsidRPr="00E4064E">
        <w:rPr>
          <w:b/>
          <w:i/>
          <w:szCs w:val="20"/>
        </w:rPr>
        <w:t>evaluation should simply add up and average all the power used across all PUEs or per PUE, and over the simulation duration.</w:t>
      </w:r>
    </w:p>
    <w:p w14:paraId="477EA511" w14:textId="137DE21D" w:rsidR="0031043E" w:rsidRPr="00275B5D" w:rsidRDefault="0031043E" w:rsidP="0031043E">
      <w:pPr>
        <w:spacing w:after="120"/>
        <w:rPr>
          <w:b/>
          <w:sz w:val="20"/>
          <w:szCs w:val="20"/>
        </w:rPr>
      </w:pPr>
      <w:r w:rsidRPr="00275B5D">
        <w:rPr>
          <w:b/>
          <w:sz w:val="20"/>
          <w:szCs w:val="20"/>
        </w:rPr>
        <w:t>4. References</w:t>
      </w:r>
    </w:p>
    <w:p w14:paraId="5544D364" w14:textId="5AFF3D4C" w:rsidR="0031043E" w:rsidRPr="00275B5D" w:rsidRDefault="0031043E" w:rsidP="00886104">
      <w:pPr>
        <w:tabs>
          <w:tab w:val="left" w:pos="284"/>
        </w:tabs>
        <w:spacing w:after="60"/>
        <w:ind w:left="284" w:hanging="284"/>
        <w:rPr>
          <w:bCs/>
          <w:iCs/>
          <w:sz w:val="20"/>
          <w:szCs w:val="20"/>
        </w:rPr>
      </w:pPr>
      <w:r w:rsidRPr="00275B5D">
        <w:rPr>
          <w:bCs/>
          <w:iCs/>
          <w:sz w:val="20"/>
          <w:szCs w:val="20"/>
        </w:rPr>
        <w:t>[1]</w:t>
      </w:r>
      <w:r w:rsidRPr="00275B5D">
        <w:rPr>
          <w:bCs/>
          <w:iCs/>
          <w:sz w:val="20"/>
          <w:szCs w:val="20"/>
        </w:rPr>
        <w:tab/>
      </w:r>
      <w:r w:rsidR="005A1FA9" w:rsidRPr="00275B5D">
        <w:rPr>
          <w:bCs/>
          <w:iCs/>
          <w:sz w:val="20"/>
          <w:szCs w:val="20"/>
        </w:rPr>
        <w:t>RP-20</w:t>
      </w:r>
      <w:r w:rsidR="00330459" w:rsidRPr="00275B5D">
        <w:rPr>
          <w:bCs/>
          <w:iCs/>
          <w:sz w:val="20"/>
          <w:szCs w:val="20"/>
        </w:rPr>
        <w:t>1385</w:t>
      </w:r>
      <w:r w:rsidR="005A1FA9" w:rsidRPr="00275B5D">
        <w:rPr>
          <w:bCs/>
          <w:iCs/>
          <w:sz w:val="20"/>
          <w:szCs w:val="20"/>
        </w:rPr>
        <w:t>, “</w:t>
      </w:r>
      <w:r w:rsidR="00330459" w:rsidRPr="00275B5D">
        <w:rPr>
          <w:bCs/>
          <w:iCs/>
          <w:sz w:val="20"/>
          <w:szCs w:val="20"/>
        </w:rPr>
        <w:t>WID revision: NR sidelink enhancement</w:t>
      </w:r>
      <w:r w:rsidR="005A1FA9" w:rsidRPr="00275B5D">
        <w:rPr>
          <w:bCs/>
          <w:iCs/>
          <w:sz w:val="20"/>
          <w:szCs w:val="20"/>
        </w:rPr>
        <w:t>”, LG</w:t>
      </w:r>
      <w:r w:rsidR="00330459" w:rsidRPr="00275B5D">
        <w:rPr>
          <w:bCs/>
          <w:iCs/>
          <w:sz w:val="20"/>
          <w:szCs w:val="20"/>
        </w:rPr>
        <w:t xml:space="preserve"> </w:t>
      </w:r>
      <w:r w:rsidR="005A1FA9" w:rsidRPr="00275B5D">
        <w:rPr>
          <w:bCs/>
          <w:iCs/>
          <w:sz w:val="20"/>
          <w:szCs w:val="20"/>
        </w:rPr>
        <w:t>E</w:t>
      </w:r>
      <w:r w:rsidR="00330459" w:rsidRPr="00275B5D">
        <w:rPr>
          <w:bCs/>
          <w:iCs/>
          <w:sz w:val="20"/>
          <w:szCs w:val="20"/>
        </w:rPr>
        <w:t>lectronics</w:t>
      </w:r>
      <w:r w:rsidR="005A1FA9" w:rsidRPr="00275B5D">
        <w:rPr>
          <w:bCs/>
          <w:iCs/>
          <w:sz w:val="20"/>
          <w:szCs w:val="20"/>
        </w:rPr>
        <w:t>, RAN#88e</w:t>
      </w:r>
    </w:p>
    <w:p w14:paraId="5CB107AA" w14:textId="6DA32DDB" w:rsidR="00010C0C" w:rsidRPr="00275B5D" w:rsidRDefault="00010C0C" w:rsidP="00010C0C">
      <w:pPr>
        <w:tabs>
          <w:tab w:val="left" w:pos="284"/>
        </w:tabs>
        <w:spacing w:after="60"/>
        <w:ind w:left="284" w:hanging="284"/>
        <w:rPr>
          <w:bCs/>
          <w:iCs/>
          <w:sz w:val="20"/>
          <w:szCs w:val="20"/>
        </w:rPr>
      </w:pPr>
      <w:r w:rsidRPr="00275B5D">
        <w:rPr>
          <w:bCs/>
          <w:iCs/>
          <w:sz w:val="20"/>
          <w:szCs w:val="20"/>
        </w:rPr>
        <w:t xml:space="preserve">[2] TR 37.885 </w:t>
      </w:r>
      <w:r w:rsidR="002645A1" w:rsidRPr="00275B5D">
        <w:rPr>
          <w:bCs/>
          <w:iCs/>
          <w:sz w:val="20"/>
          <w:szCs w:val="20"/>
        </w:rPr>
        <w:t xml:space="preserve">v15.3.0 </w:t>
      </w:r>
      <w:r w:rsidRPr="00275B5D">
        <w:rPr>
          <w:bCs/>
          <w:iCs/>
          <w:sz w:val="20"/>
          <w:szCs w:val="20"/>
        </w:rPr>
        <w:t xml:space="preserve">“Study on evaluation methodology of new Vehicle-to-Everything (V2X) use cases for LTE and NR”, </w:t>
      </w:r>
      <w:r w:rsidR="002645A1" w:rsidRPr="00275B5D">
        <w:rPr>
          <w:bCs/>
          <w:iCs/>
          <w:sz w:val="20"/>
          <w:szCs w:val="20"/>
        </w:rPr>
        <w:t>(201</w:t>
      </w:r>
      <w:r w:rsidR="006C71F8" w:rsidRPr="00275B5D">
        <w:rPr>
          <w:bCs/>
          <w:iCs/>
          <w:sz w:val="20"/>
          <w:szCs w:val="20"/>
        </w:rPr>
        <w:t>9</w:t>
      </w:r>
      <w:r w:rsidR="002645A1" w:rsidRPr="00275B5D">
        <w:rPr>
          <w:bCs/>
          <w:iCs/>
          <w:sz w:val="20"/>
          <w:szCs w:val="20"/>
        </w:rPr>
        <w:t>-0</w:t>
      </w:r>
      <w:r w:rsidR="006C71F8" w:rsidRPr="00275B5D">
        <w:rPr>
          <w:bCs/>
          <w:iCs/>
          <w:sz w:val="20"/>
          <w:szCs w:val="20"/>
        </w:rPr>
        <w:t>6</w:t>
      </w:r>
      <w:r w:rsidR="002645A1" w:rsidRPr="00275B5D">
        <w:rPr>
          <w:bCs/>
          <w:iCs/>
          <w:sz w:val="20"/>
          <w:szCs w:val="20"/>
        </w:rPr>
        <w:t>)</w:t>
      </w:r>
    </w:p>
    <w:p w14:paraId="0CDF7104" w14:textId="6D98E858" w:rsidR="00330459" w:rsidRPr="00275B5D" w:rsidRDefault="00330459" w:rsidP="00886104">
      <w:pPr>
        <w:tabs>
          <w:tab w:val="left" w:pos="284"/>
        </w:tabs>
        <w:spacing w:after="60"/>
        <w:ind w:left="284" w:hanging="284"/>
        <w:rPr>
          <w:bCs/>
          <w:iCs/>
          <w:sz w:val="20"/>
          <w:szCs w:val="20"/>
        </w:rPr>
      </w:pPr>
      <w:r w:rsidRPr="00275B5D">
        <w:rPr>
          <w:bCs/>
          <w:iCs/>
          <w:sz w:val="20"/>
          <w:szCs w:val="20"/>
        </w:rPr>
        <w:t>[</w:t>
      </w:r>
      <w:r w:rsidR="00010C0C" w:rsidRPr="00275B5D">
        <w:rPr>
          <w:bCs/>
          <w:iCs/>
          <w:sz w:val="20"/>
          <w:szCs w:val="20"/>
        </w:rPr>
        <w:t>3</w:t>
      </w:r>
      <w:r w:rsidRPr="00275B5D">
        <w:rPr>
          <w:bCs/>
          <w:iCs/>
          <w:sz w:val="20"/>
          <w:szCs w:val="20"/>
        </w:rPr>
        <w:t>]</w:t>
      </w:r>
      <w:r w:rsidRPr="00275B5D">
        <w:rPr>
          <w:bCs/>
          <w:iCs/>
          <w:sz w:val="20"/>
          <w:szCs w:val="20"/>
        </w:rPr>
        <w:tab/>
        <w:t>TR 36.843</w:t>
      </w:r>
      <w:r w:rsidR="00886104" w:rsidRPr="00275B5D">
        <w:rPr>
          <w:bCs/>
          <w:iCs/>
          <w:sz w:val="20"/>
          <w:szCs w:val="20"/>
        </w:rPr>
        <w:t xml:space="preserve"> </w:t>
      </w:r>
      <w:r w:rsidR="002645A1" w:rsidRPr="00275B5D">
        <w:rPr>
          <w:bCs/>
          <w:iCs/>
          <w:sz w:val="20"/>
          <w:szCs w:val="20"/>
        </w:rPr>
        <w:t xml:space="preserve">v12.0.1 </w:t>
      </w:r>
      <w:r w:rsidR="00886104" w:rsidRPr="00275B5D">
        <w:rPr>
          <w:bCs/>
          <w:iCs/>
          <w:sz w:val="20"/>
          <w:szCs w:val="20"/>
        </w:rPr>
        <w:t>“Study on LTE device to device proximity services”,</w:t>
      </w:r>
      <w:r w:rsidR="002645A1" w:rsidRPr="00275B5D">
        <w:rPr>
          <w:bCs/>
          <w:iCs/>
          <w:sz w:val="20"/>
          <w:szCs w:val="20"/>
        </w:rPr>
        <w:t xml:space="preserve"> (2014-03)</w:t>
      </w:r>
    </w:p>
    <w:p w14:paraId="0ADEBEDC" w14:textId="1A19C052" w:rsidR="00010C0C" w:rsidRPr="00275B5D" w:rsidRDefault="00330459" w:rsidP="00275B5D">
      <w:pPr>
        <w:tabs>
          <w:tab w:val="left" w:pos="284"/>
        </w:tabs>
        <w:spacing w:after="60"/>
        <w:ind w:left="284" w:hanging="284"/>
        <w:rPr>
          <w:bCs/>
          <w:iCs/>
          <w:sz w:val="20"/>
          <w:szCs w:val="20"/>
        </w:rPr>
      </w:pPr>
      <w:r w:rsidRPr="00275B5D">
        <w:rPr>
          <w:bCs/>
          <w:iCs/>
          <w:sz w:val="20"/>
          <w:szCs w:val="20"/>
        </w:rPr>
        <w:t>[</w:t>
      </w:r>
      <w:r w:rsidR="00010C0C" w:rsidRPr="00275B5D">
        <w:rPr>
          <w:bCs/>
          <w:iCs/>
          <w:sz w:val="20"/>
          <w:szCs w:val="20"/>
        </w:rPr>
        <w:t>4</w:t>
      </w:r>
      <w:r w:rsidRPr="00275B5D">
        <w:rPr>
          <w:bCs/>
          <w:iCs/>
          <w:sz w:val="20"/>
          <w:szCs w:val="20"/>
        </w:rPr>
        <w:t>]</w:t>
      </w:r>
      <w:r w:rsidRPr="00275B5D">
        <w:rPr>
          <w:bCs/>
          <w:iCs/>
          <w:sz w:val="20"/>
          <w:szCs w:val="20"/>
        </w:rPr>
        <w:tab/>
        <w:t xml:space="preserve">TR 38.840 </w:t>
      </w:r>
      <w:r w:rsidR="002645A1" w:rsidRPr="00275B5D">
        <w:rPr>
          <w:bCs/>
          <w:iCs/>
          <w:sz w:val="20"/>
          <w:szCs w:val="20"/>
        </w:rPr>
        <w:t xml:space="preserve">v16.0.0 </w:t>
      </w:r>
      <w:r w:rsidR="00886104" w:rsidRPr="00275B5D">
        <w:rPr>
          <w:bCs/>
          <w:iCs/>
          <w:sz w:val="20"/>
          <w:szCs w:val="20"/>
        </w:rPr>
        <w:t>“Study on User Equipment (UE) power saving in NR”,</w:t>
      </w:r>
      <w:r w:rsidR="00886104" w:rsidRPr="00275B5D">
        <w:rPr>
          <w:bCs/>
          <w:iCs/>
          <w:color w:val="000000" w:themeColor="text1"/>
          <w:sz w:val="20"/>
          <w:szCs w:val="20"/>
        </w:rPr>
        <w:t xml:space="preserve"> </w:t>
      </w:r>
      <w:r w:rsidR="002645A1" w:rsidRPr="00275B5D">
        <w:rPr>
          <w:bCs/>
          <w:iCs/>
          <w:color w:val="000000" w:themeColor="text1"/>
          <w:sz w:val="20"/>
          <w:szCs w:val="20"/>
        </w:rPr>
        <w:t>(201</w:t>
      </w:r>
      <w:r w:rsidR="004127CD" w:rsidRPr="00275B5D">
        <w:rPr>
          <w:bCs/>
          <w:iCs/>
          <w:color w:val="000000" w:themeColor="text1"/>
          <w:sz w:val="20"/>
          <w:szCs w:val="20"/>
        </w:rPr>
        <w:t>9</w:t>
      </w:r>
      <w:r w:rsidR="002645A1" w:rsidRPr="00275B5D">
        <w:rPr>
          <w:bCs/>
          <w:iCs/>
          <w:color w:val="000000" w:themeColor="text1"/>
          <w:sz w:val="20"/>
          <w:szCs w:val="20"/>
        </w:rPr>
        <w:t>-0</w:t>
      </w:r>
      <w:r w:rsidR="004127CD" w:rsidRPr="00275B5D">
        <w:rPr>
          <w:bCs/>
          <w:iCs/>
          <w:color w:val="000000" w:themeColor="text1"/>
          <w:sz w:val="20"/>
          <w:szCs w:val="20"/>
        </w:rPr>
        <w:t>6</w:t>
      </w:r>
      <w:r w:rsidR="002645A1" w:rsidRPr="00275B5D">
        <w:rPr>
          <w:bCs/>
          <w:iCs/>
          <w:color w:val="000000" w:themeColor="text1"/>
          <w:sz w:val="20"/>
          <w:szCs w:val="20"/>
        </w:rPr>
        <w:t>)</w:t>
      </w:r>
    </w:p>
    <w:sectPr w:rsidR="00010C0C" w:rsidRPr="00275B5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531B7" w14:textId="77777777" w:rsidR="000372EE" w:rsidRDefault="000372EE" w:rsidP="00511BDE">
      <w:r>
        <w:separator/>
      </w:r>
    </w:p>
  </w:endnote>
  <w:endnote w:type="continuationSeparator" w:id="0">
    <w:p w14:paraId="6E7DF4E5" w14:textId="77777777" w:rsidR="000372EE" w:rsidRDefault="000372EE"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3E3C1" w14:textId="77777777" w:rsidR="000372EE" w:rsidRDefault="000372EE" w:rsidP="00511BDE">
      <w:r>
        <w:separator/>
      </w:r>
    </w:p>
  </w:footnote>
  <w:footnote w:type="continuationSeparator" w:id="0">
    <w:p w14:paraId="43E74215" w14:textId="77777777" w:rsidR="000372EE" w:rsidRDefault="000372EE"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DE39B1"/>
    <w:multiLevelType w:val="hybridMultilevel"/>
    <w:tmpl w:val="7F6604A6"/>
    <w:lvl w:ilvl="0" w:tplc="754A161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C4C2D5F"/>
    <w:multiLevelType w:val="hybridMultilevel"/>
    <w:tmpl w:val="BD7AA714"/>
    <w:lvl w:ilvl="0" w:tplc="2A928E5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8D0932"/>
    <w:multiLevelType w:val="hybridMultilevel"/>
    <w:tmpl w:val="5816DBCA"/>
    <w:lvl w:ilvl="0" w:tplc="2A928E52">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87FA3"/>
    <w:multiLevelType w:val="hybridMultilevel"/>
    <w:tmpl w:val="CE508348"/>
    <w:lvl w:ilvl="0" w:tplc="2A928E5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32"/>
  </w:num>
  <w:num w:numId="3">
    <w:abstractNumId w:val="30"/>
  </w:num>
  <w:num w:numId="4">
    <w:abstractNumId w:val="23"/>
  </w:num>
  <w:num w:numId="5">
    <w:abstractNumId w:val="2"/>
  </w:num>
  <w:num w:numId="6">
    <w:abstractNumId w:val="23"/>
  </w:num>
  <w:num w:numId="7">
    <w:abstractNumId w:val="23"/>
  </w:num>
  <w:num w:numId="8">
    <w:abstractNumId w:val="23"/>
  </w:num>
  <w:num w:numId="9">
    <w:abstractNumId w:val="23"/>
  </w:num>
  <w:num w:numId="10">
    <w:abstractNumId w:val="0"/>
  </w:num>
  <w:num w:numId="11">
    <w:abstractNumId w:val="24"/>
  </w:num>
  <w:num w:numId="12">
    <w:abstractNumId w:val="29"/>
  </w:num>
  <w:num w:numId="13">
    <w:abstractNumId w:val="1"/>
  </w:num>
  <w:num w:numId="14">
    <w:abstractNumId w:val="18"/>
  </w:num>
  <w:num w:numId="15">
    <w:abstractNumId w:val="8"/>
  </w:num>
  <w:num w:numId="16">
    <w:abstractNumId w:val="37"/>
  </w:num>
  <w:num w:numId="17">
    <w:abstractNumId w:val="19"/>
  </w:num>
  <w:num w:numId="18">
    <w:abstractNumId w:val="4"/>
  </w:num>
  <w:num w:numId="19">
    <w:abstractNumId w:val="21"/>
  </w:num>
  <w:num w:numId="20">
    <w:abstractNumId w:val="26"/>
  </w:num>
  <w:num w:numId="21">
    <w:abstractNumId w:val="6"/>
  </w:num>
  <w:num w:numId="22">
    <w:abstractNumId w:val="35"/>
  </w:num>
  <w:num w:numId="23">
    <w:abstractNumId w:val="25"/>
  </w:num>
  <w:num w:numId="24">
    <w:abstractNumId w:val="22"/>
  </w:num>
  <w:num w:numId="25">
    <w:abstractNumId w:val="20"/>
  </w:num>
  <w:num w:numId="26">
    <w:abstractNumId w:val="5"/>
  </w:num>
  <w:num w:numId="27">
    <w:abstractNumId w:val="27"/>
  </w:num>
  <w:num w:numId="28">
    <w:abstractNumId w:val="14"/>
  </w:num>
  <w:num w:numId="29">
    <w:abstractNumId w:val="12"/>
  </w:num>
  <w:num w:numId="30">
    <w:abstractNumId w:val="17"/>
  </w:num>
  <w:num w:numId="31">
    <w:abstractNumId w:val="11"/>
  </w:num>
  <w:num w:numId="32">
    <w:abstractNumId w:val="31"/>
  </w:num>
  <w:num w:numId="33">
    <w:abstractNumId w:val="36"/>
  </w:num>
  <w:num w:numId="34">
    <w:abstractNumId w:val="27"/>
  </w:num>
  <w:num w:numId="35">
    <w:abstractNumId w:val="31"/>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9"/>
  </w:num>
  <w:num w:numId="42">
    <w:abstractNumId w:val="15"/>
  </w:num>
  <w:num w:numId="43">
    <w:abstractNumId w:val="3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10C0C"/>
    <w:rsid w:val="00025569"/>
    <w:rsid w:val="00036438"/>
    <w:rsid w:val="000372EE"/>
    <w:rsid w:val="000416C0"/>
    <w:rsid w:val="0004679C"/>
    <w:rsid w:val="00053E4E"/>
    <w:rsid w:val="00067DB2"/>
    <w:rsid w:val="0007695E"/>
    <w:rsid w:val="000916AE"/>
    <w:rsid w:val="00093C02"/>
    <w:rsid w:val="00096409"/>
    <w:rsid w:val="000976A8"/>
    <w:rsid w:val="000A4750"/>
    <w:rsid w:val="000A5226"/>
    <w:rsid w:val="000D0A1D"/>
    <w:rsid w:val="000E2C50"/>
    <w:rsid w:val="000F1096"/>
    <w:rsid w:val="00106103"/>
    <w:rsid w:val="00106B02"/>
    <w:rsid w:val="0011641C"/>
    <w:rsid w:val="00116AEB"/>
    <w:rsid w:val="00141150"/>
    <w:rsid w:val="00145600"/>
    <w:rsid w:val="00145E41"/>
    <w:rsid w:val="001546FA"/>
    <w:rsid w:val="00157F24"/>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D6BAF"/>
    <w:rsid w:val="001E76A3"/>
    <w:rsid w:val="001F006C"/>
    <w:rsid w:val="001F0A9C"/>
    <w:rsid w:val="001F6548"/>
    <w:rsid w:val="00204464"/>
    <w:rsid w:val="00212F0B"/>
    <w:rsid w:val="00216862"/>
    <w:rsid w:val="002241E8"/>
    <w:rsid w:val="002256E9"/>
    <w:rsid w:val="0022628B"/>
    <w:rsid w:val="00233380"/>
    <w:rsid w:val="00233469"/>
    <w:rsid w:val="00241C45"/>
    <w:rsid w:val="00246379"/>
    <w:rsid w:val="00246872"/>
    <w:rsid w:val="002645A1"/>
    <w:rsid w:val="00267F62"/>
    <w:rsid w:val="00274E92"/>
    <w:rsid w:val="00275B5D"/>
    <w:rsid w:val="002766FF"/>
    <w:rsid w:val="00286CBC"/>
    <w:rsid w:val="00295566"/>
    <w:rsid w:val="002A09BD"/>
    <w:rsid w:val="002A6143"/>
    <w:rsid w:val="002B5CFD"/>
    <w:rsid w:val="002F4C0C"/>
    <w:rsid w:val="00305EFA"/>
    <w:rsid w:val="003079CD"/>
    <w:rsid w:val="0031043E"/>
    <w:rsid w:val="00311E4D"/>
    <w:rsid w:val="0031286C"/>
    <w:rsid w:val="0031500A"/>
    <w:rsid w:val="00330459"/>
    <w:rsid w:val="00340704"/>
    <w:rsid w:val="0034762B"/>
    <w:rsid w:val="00351C4E"/>
    <w:rsid w:val="00353A59"/>
    <w:rsid w:val="00354CC5"/>
    <w:rsid w:val="00362044"/>
    <w:rsid w:val="00383FA1"/>
    <w:rsid w:val="00386B28"/>
    <w:rsid w:val="00390468"/>
    <w:rsid w:val="00392DDA"/>
    <w:rsid w:val="00393F69"/>
    <w:rsid w:val="003958D7"/>
    <w:rsid w:val="003A5F5F"/>
    <w:rsid w:val="003B0B70"/>
    <w:rsid w:val="003C353E"/>
    <w:rsid w:val="003D07CF"/>
    <w:rsid w:val="003D4A24"/>
    <w:rsid w:val="003E2817"/>
    <w:rsid w:val="003E387D"/>
    <w:rsid w:val="003E6210"/>
    <w:rsid w:val="004127CD"/>
    <w:rsid w:val="00420A8C"/>
    <w:rsid w:val="00420BE7"/>
    <w:rsid w:val="00426B6A"/>
    <w:rsid w:val="00442D8B"/>
    <w:rsid w:val="00444473"/>
    <w:rsid w:val="0045688F"/>
    <w:rsid w:val="00460356"/>
    <w:rsid w:val="0046353B"/>
    <w:rsid w:val="00465B84"/>
    <w:rsid w:val="00472914"/>
    <w:rsid w:val="0047317F"/>
    <w:rsid w:val="00474BBD"/>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31AF7"/>
    <w:rsid w:val="00535008"/>
    <w:rsid w:val="0054255D"/>
    <w:rsid w:val="00542EDE"/>
    <w:rsid w:val="00547AFB"/>
    <w:rsid w:val="00565E67"/>
    <w:rsid w:val="00577A9B"/>
    <w:rsid w:val="005868BE"/>
    <w:rsid w:val="00587211"/>
    <w:rsid w:val="00594422"/>
    <w:rsid w:val="005A1FA9"/>
    <w:rsid w:val="005A28DC"/>
    <w:rsid w:val="005C61CF"/>
    <w:rsid w:val="005C730F"/>
    <w:rsid w:val="005D2AA3"/>
    <w:rsid w:val="005E1C04"/>
    <w:rsid w:val="005E3141"/>
    <w:rsid w:val="005E3ADE"/>
    <w:rsid w:val="005F3DB3"/>
    <w:rsid w:val="005F3FCB"/>
    <w:rsid w:val="00606BE3"/>
    <w:rsid w:val="006124D9"/>
    <w:rsid w:val="006251B5"/>
    <w:rsid w:val="00630849"/>
    <w:rsid w:val="006436A1"/>
    <w:rsid w:val="00657443"/>
    <w:rsid w:val="0067597E"/>
    <w:rsid w:val="00675E72"/>
    <w:rsid w:val="006921B0"/>
    <w:rsid w:val="00695FE2"/>
    <w:rsid w:val="006A0EF8"/>
    <w:rsid w:val="006A4FB5"/>
    <w:rsid w:val="006B164D"/>
    <w:rsid w:val="006C3B09"/>
    <w:rsid w:val="006C71F8"/>
    <w:rsid w:val="006C7BC6"/>
    <w:rsid w:val="006D245D"/>
    <w:rsid w:val="007018F8"/>
    <w:rsid w:val="007069E1"/>
    <w:rsid w:val="00706F36"/>
    <w:rsid w:val="00714B23"/>
    <w:rsid w:val="00714B8A"/>
    <w:rsid w:val="00715A1D"/>
    <w:rsid w:val="00737AC9"/>
    <w:rsid w:val="0074224D"/>
    <w:rsid w:val="0074608E"/>
    <w:rsid w:val="0075318B"/>
    <w:rsid w:val="00753DF8"/>
    <w:rsid w:val="00756A23"/>
    <w:rsid w:val="007570FA"/>
    <w:rsid w:val="0076458F"/>
    <w:rsid w:val="00784E37"/>
    <w:rsid w:val="00796228"/>
    <w:rsid w:val="007A1C98"/>
    <w:rsid w:val="007A56DF"/>
    <w:rsid w:val="007A787E"/>
    <w:rsid w:val="007B089D"/>
    <w:rsid w:val="007B1CB6"/>
    <w:rsid w:val="007C17D0"/>
    <w:rsid w:val="007C515D"/>
    <w:rsid w:val="007D0CDF"/>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62D9"/>
    <w:rsid w:val="008801CA"/>
    <w:rsid w:val="0088570B"/>
    <w:rsid w:val="00886104"/>
    <w:rsid w:val="0088719B"/>
    <w:rsid w:val="008D26BA"/>
    <w:rsid w:val="008D2B3A"/>
    <w:rsid w:val="008E0894"/>
    <w:rsid w:val="008E117D"/>
    <w:rsid w:val="008E50DE"/>
    <w:rsid w:val="008F2A9F"/>
    <w:rsid w:val="008F60CC"/>
    <w:rsid w:val="008F7418"/>
    <w:rsid w:val="0090409B"/>
    <w:rsid w:val="00904EDC"/>
    <w:rsid w:val="009116A2"/>
    <w:rsid w:val="009214A8"/>
    <w:rsid w:val="00923CFE"/>
    <w:rsid w:val="00977066"/>
    <w:rsid w:val="00980014"/>
    <w:rsid w:val="009A3BD4"/>
    <w:rsid w:val="009C3461"/>
    <w:rsid w:val="009C6D95"/>
    <w:rsid w:val="009C79F1"/>
    <w:rsid w:val="009D7A73"/>
    <w:rsid w:val="009D7E42"/>
    <w:rsid w:val="009E3FB2"/>
    <w:rsid w:val="009F0672"/>
    <w:rsid w:val="009F7D12"/>
    <w:rsid w:val="00A00856"/>
    <w:rsid w:val="00A0094C"/>
    <w:rsid w:val="00A01D27"/>
    <w:rsid w:val="00A2306D"/>
    <w:rsid w:val="00A23374"/>
    <w:rsid w:val="00A24FF6"/>
    <w:rsid w:val="00A25674"/>
    <w:rsid w:val="00A25A66"/>
    <w:rsid w:val="00A274D3"/>
    <w:rsid w:val="00A3027B"/>
    <w:rsid w:val="00A334B0"/>
    <w:rsid w:val="00A40502"/>
    <w:rsid w:val="00A45305"/>
    <w:rsid w:val="00A50AEC"/>
    <w:rsid w:val="00A559E1"/>
    <w:rsid w:val="00A61093"/>
    <w:rsid w:val="00A65882"/>
    <w:rsid w:val="00A65F67"/>
    <w:rsid w:val="00A67B5E"/>
    <w:rsid w:val="00A70327"/>
    <w:rsid w:val="00A867AE"/>
    <w:rsid w:val="00A876D8"/>
    <w:rsid w:val="00AA1DD2"/>
    <w:rsid w:val="00AC0188"/>
    <w:rsid w:val="00AC3B83"/>
    <w:rsid w:val="00AC5E18"/>
    <w:rsid w:val="00AE53D2"/>
    <w:rsid w:val="00AF282A"/>
    <w:rsid w:val="00AF4C70"/>
    <w:rsid w:val="00B04309"/>
    <w:rsid w:val="00B04603"/>
    <w:rsid w:val="00B11B40"/>
    <w:rsid w:val="00B26E5A"/>
    <w:rsid w:val="00B27109"/>
    <w:rsid w:val="00B44D18"/>
    <w:rsid w:val="00B45EC3"/>
    <w:rsid w:val="00B47A8B"/>
    <w:rsid w:val="00B573CF"/>
    <w:rsid w:val="00B63B9C"/>
    <w:rsid w:val="00B71710"/>
    <w:rsid w:val="00B765E6"/>
    <w:rsid w:val="00B77319"/>
    <w:rsid w:val="00B81921"/>
    <w:rsid w:val="00B94938"/>
    <w:rsid w:val="00BA0969"/>
    <w:rsid w:val="00BA1AAB"/>
    <w:rsid w:val="00BA2891"/>
    <w:rsid w:val="00BB1780"/>
    <w:rsid w:val="00BB1DD1"/>
    <w:rsid w:val="00BB7CC5"/>
    <w:rsid w:val="00BC0557"/>
    <w:rsid w:val="00BC3632"/>
    <w:rsid w:val="00BE0A7F"/>
    <w:rsid w:val="00BE1BFA"/>
    <w:rsid w:val="00BE4CF9"/>
    <w:rsid w:val="00BE4F07"/>
    <w:rsid w:val="00BF2238"/>
    <w:rsid w:val="00BF45BC"/>
    <w:rsid w:val="00C03599"/>
    <w:rsid w:val="00C038A4"/>
    <w:rsid w:val="00C144BA"/>
    <w:rsid w:val="00C144FC"/>
    <w:rsid w:val="00C352D1"/>
    <w:rsid w:val="00C426A0"/>
    <w:rsid w:val="00C450DC"/>
    <w:rsid w:val="00C50B1E"/>
    <w:rsid w:val="00C52858"/>
    <w:rsid w:val="00C5327F"/>
    <w:rsid w:val="00C62CD0"/>
    <w:rsid w:val="00C65125"/>
    <w:rsid w:val="00C75F3A"/>
    <w:rsid w:val="00C8090B"/>
    <w:rsid w:val="00C90A3D"/>
    <w:rsid w:val="00CA159B"/>
    <w:rsid w:val="00CA3961"/>
    <w:rsid w:val="00CB6C37"/>
    <w:rsid w:val="00CC2EE9"/>
    <w:rsid w:val="00CC4A85"/>
    <w:rsid w:val="00CD1C22"/>
    <w:rsid w:val="00CF02F1"/>
    <w:rsid w:val="00CF1101"/>
    <w:rsid w:val="00D0723D"/>
    <w:rsid w:val="00D12DF2"/>
    <w:rsid w:val="00D44A28"/>
    <w:rsid w:val="00D52A3A"/>
    <w:rsid w:val="00D60DAF"/>
    <w:rsid w:val="00D715A7"/>
    <w:rsid w:val="00D751B7"/>
    <w:rsid w:val="00D877DA"/>
    <w:rsid w:val="00D9102B"/>
    <w:rsid w:val="00DC1F83"/>
    <w:rsid w:val="00DC21E5"/>
    <w:rsid w:val="00DC6E19"/>
    <w:rsid w:val="00DD3281"/>
    <w:rsid w:val="00DD3C3A"/>
    <w:rsid w:val="00DD3EC9"/>
    <w:rsid w:val="00DE6F29"/>
    <w:rsid w:val="00E01E29"/>
    <w:rsid w:val="00E03D9C"/>
    <w:rsid w:val="00E13651"/>
    <w:rsid w:val="00E22320"/>
    <w:rsid w:val="00E23402"/>
    <w:rsid w:val="00E24F47"/>
    <w:rsid w:val="00E31A80"/>
    <w:rsid w:val="00E348E1"/>
    <w:rsid w:val="00E36524"/>
    <w:rsid w:val="00E4064E"/>
    <w:rsid w:val="00E6365B"/>
    <w:rsid w:val="00E67003"/>
    <w:rsid w:val="00E774CB"/>
    <w:rsid w:val="00E8572A"/>
    <w:rsid w:val="00E926B4"/>
    <w:rsid w:val="00E96E5D"/>
    <w:rsid w:val="00EB287D"/>
    <w:rsid w:val="00EB3D7A"/>
    <w:rsid w:val="00EC7701"/>
    <w:rsid w:val="00ED3B92"/>
    <w:rsid w:val="00ED5635"/>
    <w:rsid w:val="00EE4760"/>
    <w:rsid w:val="00F039F1"/>
    <w:rsid w:val="00F10EC7"/>
    <w:rsid w:val="00F43AB1"/>
    <w:rsid w:val="00F51562"/>
    <w:rsid w:val="00F5580C"/>
    <w:rsid w:val="00F66000"/>
    <w:rsid w:val="00F712CC"/>
    <w:rsid w:val="00F71CBF"/>
    <w:rsid w:val="00F848C2"/>
    <w:rsid w:val="00F86FBF"/>
    <w:rsid w:val="00F92A3F"/>
    <w:rsid w:val="00F94228"/>
    <w:rsid w:val="00F95645"/>
    <w:rsid w:val="00FB2DB2"/>
    <w:rsid w:val="00FB651D"/>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 w:type="paragraph" w:customStyle="1" w:styleId="B1">
    <w:name w:val="B1"/>
    <w:basedOn w:val="List"/>
    <w:link w:val="B10"/>
    <w:qFormat/>
    <w:rsid w:val="00383FA1"/>
    <w:pPr>
      <w:spacing w:after="180"/>
      <w:ind w:left="568" w:hanging="284"/>
      <w:contextualSpacing w:val="0"/>
      <w:jc w:val="left"/>
    </w:pPr>
    <w:rPr>
      <w:rFonts w:ascii="Times New Roman" w:eastAsia="Times New Roman" w:hAnsi="Times New Roman" w:cs="Times New Roman"/>
      <w:sz w:val="20"/>
      <w:szCs w:val="20"/>
      <w:lang w:eastAsia="en-US"/>
    </w:rPr>
  </w:style>
  <w:style w:type="paragraph" w:customStyle="1" w:styleId="B2">
    <w:name w:val="B2"/>
    <w:basedOn w:val="List2"/>
    <w:link w:val="B2Char"/>
    <w:rsid w:val="00383FA1"/>
    <w:pPr>
      <w:spacing w:after="180"/>
      <w:ind w:left="851" w:hanging="284"/>
      <w:contextualSpacing w:val="0"/>
      <w:jc w:val="left"/>
    </w:pPr>
    <w:rPr>
      <w:rFonts w:ascii="Times New Roman" w:eastAsia="Times New Roman" w:hAnsi="Times New Roman" w:cs="Times New Roman"/>
      <w:sz w:val="20"/>
      <w:szCs w:val="20"/>
      <w:lang w:eastAsia="en-US"/>
    </w:rPr>
  </w:style>
  <w:style w:type="character" w:customStyle="1" w:styleId="B10">
    <w:name w:val="B1 (文字)"/>
    <w:link w:val="B1"/>
    <w:locked/>
    <w:rsid w:val="00383FA1"/>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383FA1"/>
    <w:pPr>
      <w:ind w:left="283" w:hanging="283"/>
      <w:contextualSpacing/>
    </w:pPr>
  </w:style>
  <w:style w:type="paragraph" w:styleId="List2">
    <w:name w:val="List 2"/>
    <w:basedOn w:val="Normal"/>
    <w:uiPriority w:val="99"/>
    <w:semiHidden/>
    <w:unhideWhenUsed/>
    <w:rsid w:val="00383FA1"/>
    <w:pPr>
      <w:ind w:left="566" w:hanging="283"/>
      <w:contextualSpacing/>
    </w:pPr>
  </w:style>
  <w:style w:type="character" w:customStyle="1" w:styleId="B2Char">
    <w:name w:val="B2 Char"/>
    <w:link w:val="B2"/>
    <w:rsid w:val="00F95645"/>
    <w:rPr>
      <w:rFonts w:ascii="Times New Roman" w:eastAsia="Times New Roman" w:hAnsi="Times New Roman" w:cs="Times New Roman"/>
      <w:sz w:val="20"/>
      <w:szCs w:val="20"/>
      <w:lang w:val="en-GB" w:eastAsia="en-US"/>
    </w:rPr>
  </w:style>
  <w:style w:type="paragraph" w:customStyle="1" w:styleId="B3">
    <w:name w:val="B3"/>
    <w:basedOn w:val="List3"/>
    <w:rsid w:val="00DC21E5"/>
    <w:pPr>
      <w:spacing w:after="180"/>
      <w:ind w:left="1135" w:hanging="284"/>
      <w:contextualSpacing w:val="0"/>
      <w:jc w:val="left"/>
    </w:pPr>
    <w:rPr>
      <w:rFonts w:ascii="Times New Roman" w:eastAsia="Malgun Gothic" w:hAnsi="Times New Roman" w:cs="Times New Roman"/>
      <w:sz w:val="20"/>
      <w:szCs w:val="20"/>
      <w:lang w:eastAsia="en-US"/>
    </w:rPr>
  </w:style>
  <w:style w:type="paragraph" w:styleId="List3">
    <w:name w:val="List 3"/>
    <w:basedOn w:val="Normal"/>
    <w:uiPriority w:val="99"/>
    <w:semiHidden/>
    <w:unhideWhenUsed/>
    <w:rsid w:val="00DC21E5"/>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CA05-A324-44EC-A8A8-4BF66E20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evaluation methodology for SL power saving</vt:lpstr>
    </vt:vector>
  </TitlesOfParts>
  <Company>Guangdong OPPO Mobile Telecom</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evaluation methodology for SL power saving</dc:title>
  <dc:subject>NR-V2X</dc:subject>
  <dc:creator>Kevin.Lin@oppo.com</dc:creator>
  <cp:keywords>RAN1#102-e</cp:keywords>
  <dc:description>Final version for submission</dc:description>
  <cp:lastModifiedBy>Kevin Lin</cp:lastModifiedBy>
  <cp:revision>40</cp:revision>
  <cp:lastPrinted>2020-02-09T00:52:00Z</cp:lastPrinted>
  <dcterms:created xsi:type="dcterms:W3CDTF">2020-04-10T09:24:00Z</dcterms:created>
  <dcterms:modified xsi:type="dcterms:W3CDTF">2020-08-06T06:25:00Z</dcterms:modified>
  <cp:category>Coexistence</cp:category>
</cp:coreProperties>
</file>